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0976C3" w:rsidRPr="00A13C91" w14:paraId="699CB970" w14:textId="77777777" w:rsidTr="00E7038D">
        <w:trPr>
          <w:trHeight w:val="920"/>
        </w:trPr>
        <w:tc>
          <w:tcPr>
            <w:tcW w:w="1800" w:type="pct"/>
            <w:tcMar>
              <w:top w:w="0" w:type="dxa"/>
              <w:left w:w="108" w:type="dxa"/>
              <w:bottom w:w="0" w:type="dxa"/>
              <w:right w:w="108" w:type="dxa"/>
            </w:tcMar>
          </w:tcPr>
          <w:p w14:paraId="4556FA1F" w14:textId="19265A41" w:rsidR="000976C3" w:rsidRPr="00A13C91" w:rsidRDefault="000976C3" w:rsidP="00AD1E6A">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4C65A18" w14:textId="07BD3F0F" w:rsidR="000976C3" w:rsidRPr="00A13C91" w:rsidRDefault="000976C3" w:rsidP="00AD1E6A">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0976C3">
              <w:rPr>
                <w:rFonts w:ascii="Arial" w:hAnsi="Arial" w:cs="Arial"/>
                <w:color w:val="000000"/>
                <w:sz w:val="20"/>
                <w:szCs w:val="20"/>
              </w:rPr>
              <w:t>111/2026/TT-BTC</w:t>
            </w:r>
          </w:p>
        </w:tc>
        <w:tc>
          <w:tcPr>
            <w:tcW w:w="3200" w:type="pct"/>
            <w:tcMar>
              <w:top w:w="0" w:type="dxa"/>
              <w:left w:w="108" w:type="dxa"/>
              <w:bottom w:w="0" w:type="dxa"/>
              <w:right w:w="108" w:type="dxa"/>
            </w:tcMar>
          </w:tcPr>
          <w:p w14:paraId="387B1499" w14:textId="77777777" w:rsidR="000976C3" w:rsidRPr="00A13C91" w:rsidRDefault="000976C3" w:rsidP="00AD1E6A">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64D20F2A" w14:textId="028AB0D7" w:rsidR="000976C3" w:rsidRPr="000976C3" w:rsidRDefault="000976C3" w:rsidP="00AD1E6A">
            <w:pPr>
              <w:adjustRightInd w:val="0"/>
              <w:snapToGrid w:val="0"/>
              <w:spacing w:after="0" w:line="240" w:lineRule="auto"/>
              <w:jc w:val="center"/>
            </w:pPr>
            <w:r>
              <w:rPr>
                <w:rFonts w:ascii="Arial" w:hAnsi="Arial"/>
                <w:i/>
                <w:sz w:val="20"/>
              </w:rPr>
              <w:t>Hà Nội, ngày 30 tháng 7 năm 2026</w:t>
            </w:r>
          </w:p>
        </w:tc>
      </w:tr>
    </w:tbl>
    <w:p w14:paraId="1D88DEBD" w14:textId="77777777" w:rsidR="000976C3" w:rsidRDefault="000976C3" w:rsidP="00AD1E6A">
      <w:pPr>
        <w:adjustRightInd w:val="0"/>
        <w:snapToGrid w:val="0"/>
        <w:spacing w:after="0" w:line="240" w:lineRule="auto"/>
        <w:jc w:val="center"/>
        <w:rPr>
          <w:rFonts w:ascii="Arial" w:hAnsi="Arial"/>
          <w:i/>
          <w:sz w:val="20"/>
        </w:rPr>
      </w:pPr>
    </w:p>
    <w:p w14:paraId="4974E72F" w14:textId="1AC9EF32" w:rsidR="0062122B" w:rsidRDefault="0062122B" w:rsidP="00AD1E6A">
      <w:pPr>
        <w:adjustRightInd w:val="0"/>
        <w:snapToGrid w:val="0"/>
        <w:spacing w:after="0" w:line="240" w:lineRule="auto"/>
        <w:jc w:val="center"/>
      </w:pPr>
    </w:p>
    <w:p w14:paraId="24D5DB4E" w14:textId="77777777" w:rsidR="0062122B" w:rsidRDefault="00000000" w:rsidP="00AD1E6A">
      <w:pPr>
        <w:adjustRightInd w:val="0"/>
        <w:snapToGrid w:val="0"/>
        <w:spacing w:after="0" w:line="240" w:lineRule="auto"/>
        <w:jc w:val="center"/>
        <w:rPr>
          <w:rFonts w:ascii="Arial" w:hAnsi="Arial"/>
          <w:b/>
          <w:sz w:val="20"/>
        </w:rPr>
      </w:pPr>
      <w:r>
        <w:rPr>
          <w:rFonts w:ascii="Arial" w:hAnsi="Arial"/>
          <w:b/>
          <w:sz w:val="20"/>
        </w:rPr>
        <w:t>THÔNG TƯ</w:t>
      </w:r>
    </w:p>
    <w:p w14:paraId="30A41F2A" w14:textId="4580A830" w:rsidR="00AD1E6A" w:rsidRDefault="00AD1E6A" w:rsidP="00AD1E6A">
      <w:pPr>
        <w:adjustRightInd w:val="0"/>
        <w:snapToGrid w:val="0"/>
        <w:spacing w:after="0" w:line="240" w:lineRule="auto"/>
        <w:jc w:val="center"/>
      </w:pPr>
      <w:r>
        <w:rPr>
          <w:rFonts w:ascii="Arial" w:hAnsi="Arial"/>
          <w:b/>
          <w:sz w:val="20"/>
        </w:rPr>
        <w:t>Bãi bỏ Thông tư trong lĩnh vực hưu trí bổ sung tự nguyện</w:t>
      </w:r>
      <w:r>
        <w:rPr>
          <w:rFonts w:ascii="Arial" w:hAnsi="Arial"/>
          <w:b/>
          <w:sz w:val="20"/>
        </w:rPr>
        <w:br/>
        <w:t>do Bộ trưởng Bộ Tài chính ban hành</w:t>
      </w:r>
    </w:p>
    <w:p w14:paraId="56E930AC" w14:textId="77777777" w:rsidR="00AD1E6A" w:rsidRDefault="00AD1E6A" w:rsidP="00AD1E6A">
      <w:pPr>
        <w:adjustRightInd w:val="0"/>
        <w:snapToGrid w:val="0"/>
        <w:spacing w:after="0" w:line="240" w:lineRule="auto"/>
        <w:jc w:val="center"/>
        <w:rPr>
          <w:rFonts w:ascii="Arial" w:hAnsi="Arial"/>
          <w:b/>
          <w:sz w:val="20"/>
        </w:rPr>
      </w:pPr>
    </w:p>
    <w:p w14:paraId="5AF21DE9" w14:textId="60AC8EA5" w:rsidR="0062122B" w:rsidRDefault="00000000" w:rsidP="00AD1E6A">
      <w:pPr>
        <w:adjustRightInd w:val="0"/>
        <w:snapToGrid w:val="0"/>
        <w:spacing w:after="120" w:line="240" w:lineRule="auto"/>
        <w:ind w:firstLine="720"/>
        <w:jc w:val="both"/>
      </w:pPr>
      <w:r>
        <w:rPr>
          <w:rFonts w:ascii="Arial" w:hAnsi="Arial"/>
          <w:i/>
          <w:sz w:val="20"/>
        </w:rPr>
        <w:t>Căn cứ Luật Ban hành văn bản quy phạm pháp luật số 64/2025/QH15, được sửa đổi, bổ sung tại Luật số 87/2025/QH15;</w:t>
      </w:r>
    </w:p>
    <w:p w14:paraId="157267DC" w14:textId="4AFD236E" w:rsidR="0062122B" w:rsidRDefault="00000000" w:rsidP="00AD1E6A">
      <w:pPr>
        <w:adjustRightInd w:val="0"/>
        <w:snapToGrid w:val="0"/>
        <w:spacing w:after="120" w:line="240" w:lineRule="auto"/>
        <w:ind w:firstLine="720"/>
        <w:jc w:val="both"/>
      </w:pPr>
      <w:r>
        <w:rPr>
          <w:rFonts w:ascii="Arial" w:hAnsi="Arial"/>
          <w:i/>
          <w:sz w:val="20"/>
        </w:rPr>
        <w:t>Căn cứ Nghị định số 29/2025/NĐ-CP ngày 26 tháng 02 năm 2025 của Chính phủ về quy định chức năng, nhiệm vụ, quyền hạn và cơ cấu tổ chức Bộ Tài chính được sửa đổi, bổ sung bởi Nghị định số 166/2025/NĐ-CP ngày 30 tháng 6 năm 2025;</w:t>
      </w:r>
    </w:p>
    <w:p w14:paraId="61073232" w14:textId="77777777" w:rsidR="0062122B" w:rsidRDefault="00000000" w:rsidP="00AD1E6A">
      <w:pPr>
        <w:adjustRightInd w:val="0"/>
        <w:snapToGrid w:val="0"/>
        <w:spacing w:after="120" w:line="240" w:lineRule="auto"/>
        <w:ind w:firstLine="720"/>
        <w:jc w:val="both"/>
      </w:pPr>
      <w:r>
        <w:rPr>
          <w:rFonts w:ascii="Arial" w:hAnsi="Arial"/>
          <w:i/>
          <w:sz w:val="20"/>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w:t>
      </w:r>
    </w:p>
    <w:p w14:paraId="6C1D88BF" w14:textId="77777777" w:rsidR="0062122B" w:rsidRDefault="00000000" w:rsidP="00AD1E6A">
      <w:pPr>
        <w:adjustRightInd w:val="0"/>
        <w:snapToGrid w:val="0"/>
        <w:spacing w:after="120" w:line="240" w:lineRule="auto"/>
        <w:ind w:firstLine="720"/>
        <w:jc w:val="both"/>
      </w:pPr>
      <w:r>
        <w:rPr>
          <w:rFonts w:ascii="Arial" w:hAnsi="Arial"/>
          <w:i/>
          <w:sz w:val="20"/>
        </w:rPr>
        <w:t>Căn cứ Nghị định số 85/2026/NĐ-CP ngày 25 tháng 3 năm 2026 của Chính phủ về bảo hiểm hưu trí bổ sung;</w:t>
      </w:r>
    </w:p>
    <w:p w14:paraId="4413E665" w14:textId="77777777" w:rsidR="0062122B" w:rsidRDefault="00000000" w:rsidP="00AD1E6A">
      <w:pPr>
        <w:adjustRightInd w:val="0"/>
        <w:snapToGrid w:val="0"/>
        <w:spacing w:after="120" w:line="240" w:lineRule="auto"/>
        <w:ind w:firstLine="720"/>
        <w:jc w:val="both"/>
      </w:pPr>
      <w:r>
        <w:rPr>
          <w:rFonts w:ascii="Arial" w:hAnsi="Arial"/>
          <w:i/>
          <w:sz w:val="20"/>
        </w:rPr>
        <w:t>Theo đề nghị của Vụ trưởng Vụ Các định chế tài chính;</w:t>
      </w:r>
    </w:p>
    <w:p w14:paraId="4A7A96D1" w14:textId="77777777" w:rsidR="0062122B" w:rsidRDefault="00000000" w:rsidP="00AD1E6A">
      <w:pPr>
        <w:adjustRightInd w:val="0"/>
        <w:snapToGrid w:val="0"/>
        <w:spacing w:after="120" w:line="240" w:lineRule="auto"/>
        <w:ind w:firstLine="720"/>
        <w:jc w:val="both"/>
      </w:pPr>
      <w:r>
        <w:rPr>
          <w:rFonts w:ascii="Arial" w:hAnsi="Arial"/>
          <w:i/>
          <w:sz w:val="20"/>
        </w:rPr>
        <w:t>Bộ trưởng Bộ Tài chính ban hành Thông tư bãi bỏ Thông tư trong lĩnh vực hưu trí bổ sung tự nguyện do Bộ trưởng Bộ Tài chính ban hành.</w:t>
      </w:r>
    </w:p>
    <w:p w14:paraId="5BF8BFDE" w14:textId="77777777" w:rsidR="0062122B" w:rsidRDefault="00000000" w:rsidP="00AD1E6A">
      <w:pPr>
        <w:adjustRightInd w:val="0"/>
        <w:snapToGrid w:val="0"/>
        <w:spacing w:after="120" w:line="240" w:lineRule="auto"/>
        <w:jc w:val="both"/>
      </w:pPr>
      <w:r>
        <w:rPr>
          <w:rFonts w:ascii="Arial" w:hAnsi="Arial"/>
          <w:b/>
          <w:sz w:val="20"/>
        </w:rPr>
        <w:t>Điều 1. Bãi bỏ toàn bộ Thông tư trong lĩnh vực hưu trí bổ sung tự nguyện do Bộ trưởng Bộ Tài chính ban hành</w:t>
      </w:r>
    </w:p>
    <w:p w14:paraId="31C79183" w14:textId="3B46479D" w:rsidR="0062122B" w:rsidRDefault="00000000" w:rsidP="00AD1E6A">
      <w:pPr>
        <w:adjustRightInd w:val="0"/>
        <w:snapToGrid w:val="0"/>
        <w:spacing w:after="120" w:line="240" w:lineRule="auto"/>
        <w:jc w:val="both"/>
      </w:pPr>
      <w:r>
        <w:rPr>
          <w:rFonts w:ascii="Arial" w:hAnsi="Arial"/>
          <w:sz w:val="20"/>
        </w:rPr>
        <w:t>1. Bãi bỏ Thông tư số 86/2017/TT-BTC ngày 15 tháng 8 năm 2017 của</w:t>
      </w:r>
      <w:r w:rsidR="00AD1E6A">
        <w:t xml:space="preserve"> </w:t>
      </w:r>
      <w:r>
        <w:rPr>
          <w:rFonts w:ascii="Arial" w:hAnsi="Arial"/>
          <w:sz w:val="20"/>
        </w:rPr>
        <w:t>Bộ trưởng Bộ Tài chính hướng dẫn một số điều của Nghị định số 88/2016/NĐ-CP ngày 01 tháng 7 năm 2016 của Chính phủ về chương trình hưu trí bổ sung tự nguyện (sau đây gọi tắt là Thông tư số 86/2017/TT-BTC), ngoại trừ quy định tại khoản 2 Điều này.’</w:t>
      </w:r>
    </w:p>
    <w:p w14:paraId="344C28DC" w14:textId="45A7A77E" w:rsidR="0062122B" w:rsidRDefault="00000000" w:rsidP="00AD1E6A">
      <w:pPr>
        <w:adjustRightInd w:val="0"/>
        <w:snapToGrid w:val="0"/>
        <w:spacing w:after="120" w:line="240" w:lineRule="auto"/>
        <w:jc w:val="both"/>
      </w:pPr>
      <w:r>
        <w:rPr>
          <w:rFonts w:ascii="Arial" w:hAnsi="Arial"/>
          <w:sz w:val="20"/>
        </w:rPr>
        <w:t>2. Các doanh nghiệp quản lý quỹ hưu trí bổ sung tự nguyện đã thành lập theo quy định tại Nghị định số 88/2016/NĐ-CP ngày 01 tháng 7 năm 2016 của Chính phủ về chương trình hưu trí bổ sung tự nguyện tiếp tục thực hiện quy định tại khoản 2 và khoản 3 Điều 3 Thông tư số 86/2017/TT-BTC trong thời gian điều chỉnh danh mục đầu tư, cơ cấu đầu tư theo quy định tại điểm c khoản 3</w:t>
      </w:r>
      <w:r w:rsidR="00AD1E6A">
        <w:t xml:space="preserve"> </w:t>
      </w:r>
      <w:r>
        <w:rPr>
          <w:rFonts w:ascii="Arial" w:hAnsi="Arial"/>
          <w:sz w:val="20"/>
        </w:rPr>
        <w:t>Điều 44 Nghị định số 85/2026/NĐ-CP ngày 25 tháng 3 năm 2026 của Chính phủ về bảo hiểm hưu trí bổ sung trong vòng 12 tháng kể từ khi Nghị định này có hiệu lực thi hành. Khoản 2, khoản 3 Điều 3 Thông tư số 86/2017/TT-BTC bị bãi bỏ từ ngày 10 tháng 05 năm 2027.</w:t>
      </w:r>
    </w:p>
    <w:p w14:paraId="68C849F3" w14:textId="77777777" w:rsidR="0062122B" w:rsidRDefault="00000000" w:rsidP="00AD1E6A">
      <w:pPr>
        <w:adjustRightInd w:val="0"/>
        <w:snapToGrid w:val="0"/>
        <w:spacing w:after="120" w:line="240" w:lineRule="auto"/>
        <w:jc w:val="both"/>
      </w:pPr>
      <w:r>
        <w:rPr>
          <w:rFonts w:ascii="Arial" w:hAnsi="Arial"/>
          <w:b/>
          <w:sz w:val="20"/>
        </w:rPr>
        <w:t>Điều 2. Điều khoản thi hành</w:t>
      </w:r>
    </w:p>
    <w:p w14:paraId="66C9DACC" w14:textId="2750648E" w:rsidR="0062122B" w:rsidRDefault="00000000" w:rsidP="00AD1E6A">
      <w:pPr>
        <w:adjustRightInd w:val="0"/>
        <w:snapToGrid w:val="0"/>
        <w:spacing w:after="120" w:line="240" w:lineRule="auto"/>
        <w:jc w:val="both"/>
      </w:pPr>
      <w:r>
        <w:rPr>
          <w:rFonts w:ascii="Arial" w:hAnsi="Arial"/>
          <w:sz w:val="20"/>
        </w:rPr>
        <w:t xml:space="preserve">1. Thông tư này có hiệu lực thi hành kể từ ngày 15 tháng </w:t>
      </w:r>
      <w:r w:rsidR="00AD1E6A">
        <w:rPr>
          <w:rFonts w:ascii="Arial" w:hAnsi="Arial"/>
          <w:sz w:val="20"/>
        </w:rPr>
        <w:t>9</w:t>
      </w:r>
      <w:r>
        <w:rPr>
          <w:rFonts w:ascii="Arial" w:hAnsi="Arial"/>
          <w:sz w:val="20"/>
        </w:rPr>
        <w:t xml:space="preserve"> năm 2026.</w:t>
      </w:r>
    </w:p>
    <w:p w14:paraId="68DBB70C" w14:textId="77777777" w:rsidR="0062122B" w:rsidRDefault="00000000" w:rsidP="00AD1E6A">
      <w:pPr>
        <w:adjustRightInd w:val="0"/>
        <w:snapToGrid w:val="0"/>
        <w:spacing w:after="120" w:line="240" w:lineRule="auto"/>
        <w:jc w:val="both"/>
        <w:rPr>
          <w:rFonts w:ascii="Arial" w:hAnsi="Arial"/>
          <w:sz w:val="20"/>
        </w:rPr>
      </w:pPr>
      <w:r>
        <w:rPr>
          <w:rFonts w:ascii="Arial" w:hAnsi="Arial"/>
          <w:sz w:val="20"/>
        </w:rPr>
        <w:t>2. Chánh Văn phòng Bộ Tài chính, Vụ trưởng Vụ Các định chế tài chính, Thủ trưởng các đơn vị liên quan thuộc Bộ Tài chính và các cơ quan, tổ chức, cá nhân có liên quan chịu trách nhiệm thi hành Thông tư này.</w:t>
      </w:r>
    </w:p>
    <w:p w14:paraId="41BFB33F" w14:textId="77777777" w:rsidR="00AD1E6A" w:rsidRDefault="00AD1E6A" w:rsidP="00AD1E6A">
      <w:pPr>
        <w:adjustRightInd w:val="0"/>
        <w:snapToGrid w:val="0"/>
        <w:spacing w:after="120" w:line="240" w:lineRule="auto"/>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AD1E6A" w:rsidRPr="00AD1E6A" w14:paraId="517DE4EB" w14:textId="77777777" w:rsidTr="00AD1E6A">
        <w:trPr>
          <w:tblCellSpacing w:w="0" w:type="dxa"/>
        </w:trPr>
        <w:tc>
          <w:tcPr>
            <w:tcW w:w="3063" w:type="pct"/>
            <w:shd w:val="clear" w:color="auto" w:fill="FFFFFF"/>
            <w:tcMar>
              <w:top w:w="0" w:type="dxa"/>
              <w:left w:w="108" w:type="dxa"/>
              <w:bottom w:w="0" w:type="dxa"/>
              <w:right w:w="108" w:type="dxa"/>
            </w:tcMar>
            <w:hideMark/>
          </w:tcPr>
          <w:p w14:paraId="6D39583D"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b/>
                <w:bCs/>
                <w:i/>
                <w:iCs/>
                <w:kern w:val="0"/>
                <w:sz w:val="20"/>
                <w:szCs w:val="20"/>
                <w14:ligatures w14:val="none"/>
              </w:rPr>
              <w:t>Nơi nhận:</w:t>
            </w:r>
            <w:r w:rsidRPr="00AD1E6A">
              <w:rPr>
                <w:rFonts w:ascii="Arial" w:eastAsia="Times New Roman" w:hAnsi="Arial" w:cs="Arial"/>
                <w:b/>
                <w:bCs/>
                <w:i/>
                <w:iCs/>
                <w:kern w:val="0"/>
                <w:sz w:val="20"/>
                <w:szCs w:val="20"/>
                <w14:ligatures w14:val="none"/>
              </w:rPr>
              <w:br/>
            </w:r>
            <w:r w:rsidRPr="00AD1E6A">
              <w:rPr>
                <w:rFonts w:ascii="Arial" w:eastAsia="Times New Roman" w:hAnsi="Arial" w:cs="Arial"/>
                <w:kern w:val="0"/>
                <w:sz w:val="20"/>
                <w:szCs w:val="20"/>
                <w14:ligatures w14:val="none"/>
              </w:rPr>
              <w:t xml:space="preserve">- Thủ tướng, các Phó Thủ tướng Chính phủ; </w:t>
            </w:r>
          </w:p>
          <w:p w14:paraId="77BBD8B9"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Văn phòng Trung ương &amp; các Ban của Đảng;</w:t>
            </w:r>
          </w:p>
          <w:p w14:paraId="40DEF5EF"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Văn phòng Tổng bí thư; </w:t>
            </w:r>
          </w:p>
          <w:p w14:paraId="07226B69"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Văn phòng Quốc hội; </w:t>
            </w:r>
          </w:p>
          <w:p w14:paraId="184F568A" w14:textId="448D988E"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Văn phòng Chủ tịch nước; </w:t>
            </w:r>
          </w:p>
          <w:p w14:paraId="07288238"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Các Bộ, cơ quan ngang Bộ; </w:t>
            </w:r>
          </w:p>
          <w:p w14:paraId="005334A9" w14:textId="4E7F5D3B"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Tòa án nhân dân tối cao; </w:t>
            </w:r>
          </w:p>
          <w:p w14:paraId="1844143F"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Viện kiểm sát nhân dân tối cao; </w:t>
            </w:r>
          </w:p>
          <w:p w14:paraId="07156975"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Kiểm toán Nhà nước; </w:t>
            </w:r>
          </w:p>
          <w:p w14:paraId="7BEB78F5" w14:textId="138C43E5"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Hội đồng dân tộc, Ủy ban Văn hóa, xã hội của Quốc hội; </w:t>
            </w:r>
          </w:p>
          <w:p w14:paraId="1E75BE36" w14:textId="06C984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lastRenderedPageBreak/>
              <w:t xml:space="preserve">- Cơ quan Trung ương của các đoàn thể; </w:t>
            </w:r>
          </w:p>
          <w:p w14:paraId="614BB6D1" w14:textId="30B1577A"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HĐND, UBND các tỉnh, TP; </w:t>
            </w:r>
          </w:p>
          <w:p w14:paraId="57AB924A" w14:textId="607E1DD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Cục Kiểm tra văn bản và QLXLVPHC (Bộ Tư pháp); </w:t>
            </w:r>
          </w:p>
          <w:p w14:paraId="6FBDD415" w14:textId="77777777"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Công báo; </w:t>
            </w:r>
          </w:p>
          <w:p w14:paraId="1854662D" w14:textId="6C17FFD1"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Website Chính phủ, Bộ Tài chính; </w:t>
            </w:r>
          </w:p>
          <w:p w14:paraId="5F7749BE" w14:textId="7E54DAA2"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xml:space="preserve">- Cơ sở dữ liệu quốc gia về pháp luật; </w:t>
            </w:r>
          </w:p>
          <w:p w14:paraId="7C1414AB" w14:textId="10E5DE0A" w:rsid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Các đơn vị thuộc và trực thuộc Bộ T</w:t>
            </w:r>
            <w:r w:rsidR="00BA7336">
              <w:rPr>
                <w:rFonts w:ascii="Arial" w:eastAsia="Times New Roman" w:hAnsi="Arial" w:cs="Arial"/>
                <w:kern w:val="0"/>
                <w:sz w:val="20"/>
                <w:szCs w:val="20"/>
                <w14:ligatures w14:val="none"/>
              </w:rPr>
              <w:t>à</w:t>
            </w:r>
            <w:r w:rsidRPr="00AD1E6A">
              <w:rPr>
                <w:rFonts w:ascii="Arial" w:eastAsia="Times New Roman" w:hAnsi="Arial" w:cs="Arial"/>
                <w:kern w:val="0"/>
                <w:sz w:val="20"/>
                <w:szCs w:val="20"/>
                <w14:ligatures w14:val="none"/>
              </w:rPr>
              <w:t xml:space="preserve">i chính; </w:t>
            </w:r>
          </w:p>
          <w:p w14:paraId="7B3C7342" w14:textId="402C3C5A" w:rsidR="00AD1E6A" w:rsidRPr="00AD1E6A" w:rsidRDefault="00AD1E6A" w:rsidP="00AD1E6A">
            <w:pPr>
              <w:adjustRightInd w:val="0"/>
              <w:snapToGrid w:val="0"/>
              <w:spacing w:after="0" w:line="240" w:lineRule="auto"/>
              <w:rPr>
                <w:rFonts w:ascii="Arial" w:eastAsia="Times New Roman" w:hAnsi="Arial" w:cs="Arial"/>
                <w:kern w:val="0"/>
                <w:sz w:val="20"/>
                <w:szCs w:val="20"/>
                <w14:ligatures w14:val="none"/>
              </w:rPr>
            </w:pPr>
            <w:r w:rsidRPr="00AD1E6A">
              <w:rPr>
                <w:rFonts w:ascii="Arial" w:eastAsia="Times New Roman" w:hAnsi="Arial" w:cs="Arial"/>
                <w:kern w:val="0"/>
                <w:sz w:val="20"/>
                <w:szCs w:val="20"/>
                <w14:ligatures w14:val="none"/>
              </w:rPr>
              <w:t>- Lưu: VT, Vụ ĐCTC (50b).</w:t>
            </w:r>
          </w:p>
        </w:tc>
        <w:tc>
          <w:tcPr>
            <w:tcW w:w="1937" w:type="pct"/>
            <w:shd w:val="clear" w:color="auto" w:fill="FFFFFF"/>
            <w:tcMar>
              <w:top w:w="0" w:type="dxa"/>
              <w:left w:w="108" w:type="dxa"/>
              <w:bottom w:w="0" w:type="dxa"/>
              <w:right w:w="108" w:type="dxa"/>
            </w:tcMar>
            <w:hideMark/>
          </w:tcPr>
          <w:p w14:paraId="591EB405" w14:textId="77777777"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r w:rsidRPr="00AD1E6A">
              <w:rPr>
                <w:rFonts w:ascii="Arial" w:eastAsia="Times New Roman" w:hAnsi="Arial" w:cs="Arial"/>
                <w:b/>
                <w:bCs/>
                <w:kern w:val="0"/>
                <w:sz w:val="20"/>
                <w:szCs w:val="20"/>
                <w14:ligatures w14:val="none"/>
              </w:rPr>
              <w:lastRenderedPageBreak/>
              <w:t>KT. BỘ TRƯỞNG</w:t>
            </w:r>
          </w:p>
          <w:p w14:paraId="09ED0633" w14:textId="77777777"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r w:rsidRPr="00AD1E6A">
              <w:rPr>
                <w:rFonts w:ascii="Arial" w:eastAsia="Times New Roman" w:hAnsi="Arial" w:cs="Arial"/>
                <w:b/>
                <w:bCs/>
                <w:kern w:val="0"/>
                <w:sz w:val="20"/>
                <w:szCs w:val="20"/>
                <w14:ligatures w14:val="none"/>
              </w:rPr>
              <w:t>THỨ TRƯỞNG</w:t>
            </w:r>
          </w:p>
          <w:p w14:paraId="651398F5" w14:textId="77777777" w:rsid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2BE313AC" w14:textId="77777777" w:rsid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78A2EA4F" w14:textId="77777777" w:rsid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34A84A11" w14:textId="77777777"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p>
          <w:p w14:paraId="3BDFE551" w14:textId="77777777" w:rsidR="00AD1E6A" w:rsidRPr="00AD1E6A" w:rsidRDefault="00AD1E6A" w:rsidP="00AD1E6A">
            <w:pPr>
              <w:adjustRightInd w:val="0"/>
              <w:snapToGrid w:val="0"/>
              <w:spacing w:after="0" w:line="240" w:lineRule="auto"/>
              <w:rPr>
                <w:rFonts w:ascii="Arial" w:eastAsia="Times New Roman" w:hAnsi="Arial" w:cs="Arial"/>
                <w:b/>
                <w:bCs/>
                <w:kern w:val="0"/>
                <w:sz w:val="20"/>
                <w:szCs w:val="20"/>
                <w14:ligatures w14:val="none"/>
              </w:rPr>
            </w:pPr>
          </w:p>
          <w:p w14:paraId="176D2700" w14:textId="4912E23E" w:rsidR="00AD1E6A" w:rsidRPr="00AD1E6A" w:rsidRDefault="00AD1E6A" w:rsidP="00AD1E6A">
            <w:pPr>
              <w:adjustRightInd w:val="0"/>
              <w:snapToGrid w:val="0"/>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Nguyễn Đức Chi</w:t>
            </w:r>
          </w:p>
        </w:tc>
      </w:tr>
    </w:tbl>
    <w:p w14:paraId="658FF224" w14:textId="372E3E33" w:rsidR="0062122B" w:rsidRDefault="0062122B" w:rsidP="00AD1E6A">
      <w:pPr>
        <w:adjustRightInd w:val="0"/>
        <w:snapToGrid w:val="0"/>
        <w:spacing w:after="120" w:line="240" w:lineRule="auto"/>
        <w:jc w:val="both"/>
      </w:pPr>
    </w:p>
    <w:sectPr w:rsidR="0062122B" w:rsidSect="00AD1E6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9E68" w14:textId="77777777" w:rsidR="0080031D" w:rsidRDefault="0080031D">
      <w:pPr>
        <w:spacing w:after="0" w:line="240" w:lineRule="auto"/>
      </w:pPr>
      <w:r>
        <w:separator/>
      </w:r>
    </w:p>
  </w:endnote>
  <w:endnote w:type="continuationSeparator" w:id="0">
    <w:p w14:paraId="7531E42D" w14:textId="77777777" w:rsidR="0080031D" w:rsidRDefault="0080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14BC3" w14:textId="77777777" w:rsidR="0080031D" w:rsidRDefault="0080031D">
      <w:pPr>
        <w:spacing w:after="0" w:line="240" w:lineRule="auto"/>
      </w:pPr>
      <w:r>
        <w:separator/>
      </w:r>
    </w:p>
  </w:footnote>
  <w:footnote w:type="continuationSeparator" w:id="0">
    <w:p w14:paraId="4851AA2E" w14:textId="77777777" w:rsidR="0080031D" w:rsidRDefault="008003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2B"/>
    <w:rsid w:val="000976C3"/>
    <w:rsid w:val="004E2317"/>
    <w:rsid w:val="004E729F"/>
    <w:rsid w:val="00515384"/>
    <w:rsid w:val="005E3865"/>
    <w:rsid w:val="0062122B"/>
    <w:rsid w:val="0080031D"/>
    <w:rsid w:val="00AD1E6A"/>
    <w:rsid w:val="00BA7336"/>
    <w:rsid w:val="00C615DF"/>
    <w:rsid w:val="00E10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883A"/>
  <w15:docId w15:val="{CA1B5B0E-DE7A-42A9-9F44-C2244F95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E6A"/>
  </w:style>
  <w:style w:type="paragraph" w:styleId="Footer">
    <w:name w:val="footer"/>
    <w:basedOn w:val="Normal"/>
    <w:link w:val="FooterChar"/>
    <w:uiPriority w:val="99"/>
    <w:unhideWhenUsed/>
    <w:rsid w:val="00AD1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2026-08-05T04:24:00Z</dcterms:created>
  <dcterms:modified xsi:type="dcterms:W3CDTF">2026-08-05T07:34:00Z</dcterms:modified>
</cp:coreProperties>
</file>