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555"/>
        <w:gridCol w:w="5593"/>
      </w:tblGrid>
      <w:tr w:rsidR="002C0EEA" w:rsidRPr="002C0EEA" w14:paraId="082C6DC5" w14:textId="77777777" w:rsidTr="002C0EEA">
        <w:trPr>
          <w:trHeight w:val="920"/>
        </w:trPr>
        <w:tc>
          <w:tcPr>
            <w:tcW w:w="3620" w:type="dxa"/>
            <w:tcBorders>
              <w:top w:val="nil"/>
              <w:left w:val="nil"/>
              <w:right w:val="nil"/>
              <w:tl2br w:val="nil"/>
              <w:tr2bl w:val="nil"/>
            </w:tcBorders>
            <w:shd w:val="clear" w:color="auto" w:fill="auto"/>
            <w:tcMar>
              <w:top w:w="0" w:type="dxa"/>
              <w:left w:w="108" w:type="dxa"/>
              <w:bottom w:w="0" w:type="dxa"/>
              <w:right w:w="108" w:type="dxa"/>
            </w:tcMar>
          </w:tcPr>
          <w:p w14:paraId="428E25B4" w14:textId="1B8C6E1C" w:rsidR="002C0EEA" w:rsidRPr="002C0EEA" w:rsidRDefault="002C0EEA" w:rsidP="002C0EEA">
            <w:pPr>
              <w:jc w:val="center"/>
              <w:rPr>
                <w:rFonts w:ascii="Arial" w:hAnsi="Arial" w:cs="Arial"/>
                <w:sz w:val="20"/>
                <w:szCs w:val="20"/>
              </w:rPr>
            </w:pPr>
            <w:r w:rsidRPr="002C0EEA">
              <w:rPr>
                <w:rFonts w:ascii="Arial" w:hAnsi="Arial" w:cs="Arial"/>
                <w:b/>
                <w:bCs/>
                <w:sz w:val="20"/>
                <w:szCs w:val="20"/>
              </w:rPr>
              <w:t>QUỐC HỘI</w:t>
            </w:r>
            <w:r w:rsidRPr="002C0EEA">
              <w:rPr>
                <w:rFonts w:ascii="Arial" w:hAnsi="Arial" w:cs="Arial"/>
                <w:b/>
                <w:bCs/>
                <w:sz w:val="20"/>
                <w:szCs w:val="20"/>
              </w:rPr>
              <w:br/>
            </w:r>
            <w:r>
              <w:rPr>
                <w:rFonts w:ascii="Arial" w:hAnsi="Arial" w:cs="Arial"/>
                <w:b/>
                <w:bCs/>
                <w:sz w:val="20"/>
                <w:szCs w:val="20"/>
                <w:vertAlign w:val="superscript"/>
              </w:rPr>
              <w:t>_________</w:t>
            </w:r>
          </w:p>
          <w:p w14:paraId="655791BF" w14:textId="62493F82" w:rsidR="002C0EEA" w:rsidRPr="002C0EEA" w:rsidRDefault="002C0EEA" w:rsidP="002C0EEA">
            <w:pPr>
              <w:jc w:val="center"/>
              <w:rPr>
                <w:rFonts w:ascii="Arial" w:hAnsi="Arial" w:cs="Arial"/>
                <w:sz w:val="20"/>
                <w:szCs w:val="20"/>
              </w:rPr>
            </w:pPr>
            <w:r w:rsidRPr="002C0EEA">
              <w:rPr>
                <w:rFonts w:ascii="Arial" w:hAnsi="Arial" w:cs="Arial"/>
                <w:sz w:val="20"/>
                <w:szCs w:val="20"/>
              </w:rPr>
              <w:t>Nghị quyết số: 110/2023/QH15</w:t>
            </w:r>
          </w:p>
        </w:tc>
        <w:tc>
          <w:tcPr>
            <w:tcW w:w="5740" w:type="dxa"/>
            <w:tcBorders>
              <w:top w:val="nil"/>
              <w:left w:val="nil"/>
              <w:right w:val="nil"/>
              <w:tl2br w:val="nil"/>
              <w:tr2bl w:val="nil"/>
            </w:tcBorders>
            <w:shd w:val="clear" w:color="auto" w:fill="auto"/>
            <w:tcMar>
              <w:top w:w="0" w:type="dxa"/>
              <w:left w:w="108" w:type="dxa"/>
              <w:bottom w:w="0" w:type="dxa"/>
              <w:right w:w="108" w:type="dxa"/>
            </w:tcMar>
          </w:tcPr>
          <w:p w14:paraId="190B5062" w14:textId="3007007F" w:rsidR="002C0EEA" w:rsidRPr="002C0EEA" w:rsidRDefault="002C0EEA" w:rsidP="002C0EEA">
            <w:pPr>
              <w:jc w:val="center"/>
              <w:rPr>
                <w:rFonts w:ascii="Arial" w:hAnsi="Arial" w:cs="Arial"/>
                <w:sz w:val="20"/>
                <w:szCs w:val="20"/>
              </w:rPr>
            </w:pPr>
            <w:r w:rsidRPr="002C0EEA">
              <w:rPr>
                <w:rFonts w:ascii="Arial" w:hAnsi="Arial" w:cs="Arial"/>
                <w:b/>
                <w:bCs/>
                <w:sz w:val="20"/>
                <w:szCs w:val="20"/>
              </w:rPr>
              <w:t>CỘNG HÒA XÃ HỘI CHỦ NGHĨA VIỆT NAM</w:t>
            </w:r>
            <w:r w:rsidRPr="002C0EEA">
              <w:rPr>
                <w:rFonts w:ascii="Arial" w:hAnsi="Arial" w:cs="Arial"/>
                <w:b/>
                <w:bCs/>
                <w:sz w:val="20"/>
                <w:szCs w:val="20"/>
              </w:rPr>
              <w:br/>
              <w:t xml:space="preserve">Độc lập - Tự do - Hạnh phúc </w:t>
            </w:r>
            <w:r w:rsidRPr="002C0EEA">
              <w:rPr>
                <w:rFonts w:ascii="Arial" w:hAnsi="Arial" w:cs="Arial"/>
                <w:b/>
                <w:bCs/>
                <w:sz w:val="20"/>
                <w:szCs w:val="20"/>
              </w:rPr>
              <w:br/>
            </w:r>
            <w:r>
              <w:rPr>
                <w:rFonts w:ascii="Arial" w:hAnsi="Arial" w:cs="Arial"/>
                <w:b/>
                <w:bCs/>
                <w:sz w:val="20"/>
                <w:szCs w:val="20"/>
                <w:vertAlign w:val="superscript"/>
              </w:rPr>
              <w:t>______________</w:t>
            </w:r>
          </w:p>
          <w:p w14:paraId="6B7F27F2" w14:textId="6217794B" w:rsidR="002C0EEA" w:rsidRPr="002C0EEA" w:rsidRDefault="002C0EEA" w:rsidP="002C0EEA">
            <w:pPr>
              <w:jc w:val="right"/>
              <w:rPr>
                <w:rFonts w:ascii="Arial" w:hAnsi="Arial" w:cs="Arial"/>
                <w:sz w:val="20"/>
                <w:szCs w:val="20"/>
              </w:rPr>
            </w:pPr>
            <w:r w:rsidRPr="002C0EEA">
              <w:rPr>
                <w:rFonts w:ascii="Arial" w:hAnsi="Arial" w:cs="Arial"/>
                <w:i/>
                <w:iCs/>
                <w:sz w:val="20"/>
                <w:szCs w:val="20"/>
              </w:rPr>
              <w:t>Hà Nội, ngày 29 tháng 11 năm 2023</w:t>
            </w:r>
          </w:p>
        </w:tc>
      </w:tr>
    </w:tbl>
    <w:p w14:paraId="5490EC06" w14:textId="77777777" w:rsidR="002C0EEA" w:rsidRDefault="002C0EEA" w:rsidP="002C0EEA">
      <w:pPr>
        <w:jc w:val="center"/>
        <w:rPr>
          <w:rFonts w:ascii="Arial" w:hAnsi="Arial" w:cs="Arial"/>
          <w:b/>
          <w:bCs/>
          <w:sz w:val="20"/>
          <w:szCs w:val="20"/>
        </w:rPr>
      </w:pPr>
    </w:p>
    <w:p w14:paraId="7C0D43BF" w14:textId="7568E7C8" w:rsidR="00000000" w:rsidRPr="002C0EEA" w:rsidRDefault="0060540B" w:rsidP="002C0EEA">
      <w:pPr>
        <w:jc w:val="center"/>
        <w:rPr>
          <w:rFonts w:ascii="Arial" w:hAnsi="Arial" w:cs="Arial"/>
          <w:sz w:val="20"/>
          <w:szCs w:val="20"/>
        </w:rPr>
      </w:pPr>
      <w:r w:rsidRPr="002C0EEA">
        <w:rPr>
          <w:rFonts w:ascii="Arial" w:hAnsi="Arial" w:cs="Arial"/>
          <w:b/>
          <w:bCs/>
          <w:sz w:val="20"/>
          <w:szCs w:val="20"/>
        </w:rPr>
        <w:t> </w:t>
      </w:r>
    </w:p>
    <w:p w14:paraId="23ECFED5" w14:textId="77777777" w:rsidR="00000000" w:rsidRPr="002C0EEA" w:rsidRDefault="0060540B" w:rsidP="002C0EEA">
      <w:pPr>
        <w:jc w:val="center"/>
        <w:rPr>
          <w:rFonts w:ascii="Arial" w:hAnsi="Arial" w:cs="Arial"/>
          <w:sz w:val="20"/>
          <w:szCs w:val="20"/>
        </w:rPr>
      </w:pPr>
      <w:r w:rsidRPr="002C0EEA">
        <w:rPr>
          <w:rFonts w:ascii="Arial" w:hAnsi="Arial" w:cs="Arial"/>
          <w:b/>
          <w:bCs/>
          <w:sz w:val="20"/>
          <w:szCs w:val="20"/>
        </w:rPr>
        <w:t>NGHỊ QUYẾT</w:t>
      </w:r>
    </w:p>
    <w:p w14:paraId="55F90260" w14:textId="745E2D05" w:rsidR="00000000" w:rsidRDefault="002C0EEA" w:rsidP="002C0EEA">
      <w:pPr>
        <w:jc w:val="center"/>
        <w:rPr>
          <w:rFonts w:ascii="Arial" w:hAnsi="Arial" w:cs="Arial"/>
          <w:b/>
          <w:bCs/>
          <w:sz w:val="20"/>
          <w:szCs w:val="20"/>
        </w:rPr>
      </w:pPr>
      <w:r>
        <w:rPr>
          <w:rFonts w:ascii="Arial" w:hAnsi="Arial" w:cs="Arial"/>
          <w:b/>
          <w:bCs/>
          <w:sz w:val="20"/>
          <w:szCs w:val="20"/>
        </w:rPr>
        <w:t>K</w:t>
      </w:r>
      <w:r w:rsidRPr="002C0EEA">
        <w:rPr>
          <w:rFonts w:ascii="Arial" w:hAnsi="Arial" w:cs="Arial"/>
          <w:b/>
          <w:bCs/>
          <w:sz w:val="20"/>
          <w:szCs w:val="20"/>
        </w:rPr>
        <w:t xml:space="preserve">ỳ họp thứ 6, </w:t>
      </w:r>
      <w:r>
        <w:rPr>
          <w:rFonts w:ascii="Arial" w:hAnsi="Arial" w:cs="Arial"/>
          <w:b/>
          <w:bCs/>
          <w:sz w:val="20"/>
          <w:szCs w:val="20"/>
        </w:rPr>
        <w:t>Q</w:t>
      </w:r>
      <w:r w:rsidRPr="002C0EEA">
        <w:rPr>
          <w:rFonts w:ascii="Arial" w:hAnsi="Arial" w:cs="Arial"/>
          <w:b/>
          <w:bCs/>
          <w:sz w:val="20"/>
          <w:szCs w:val="20"/>
        </w:rPr>
        <w:t xml:space="preserve">uốc hội khóa </w:t>
      </w:r>
      <w:r>
        <w:rPr>
          <w:rFonts w:ascii="Arial" w:hAnsi="Arial" w:cs="Arial"/>
          <w:b/>
          <w:bCs/>
          <w:sz w:val="20"/>
          <w:szCs w:val="20"/>
        </w:rPr>
        <w:t>XV</w:t>
      </w:r>
    </w:p>
    <w:p w14:paraId="74EFF6B0" w14:textId="1C87D2DB" w:rsidR="002C0EEA" w:rsidRPr="002C0EEA" w:rsidRDefault="002C0EEA" w:rsidP="002C0EEA">
      <w:pPr>
        <w:jc w:val="center"/>
        <w:rPr>
          <w:rFonts w:ascii="Arial" w:hAnsi="Arial" w:cs="Arial"/>
          <w:b/>
          <w:bCs/>
          <w:sz w:val="20"/>
          <w:szCs w:val="20"/>
          <w:vertAlign w:val="superscript"/>
        </w:rPr>
      </w:pPr>
      <w:r>
        <w:rPr>
          <w:rFonts w:ascii="Arial" w:hAnsi="Arial" w:cs="Arial"/>
          <w:b/>
          <w:bCs/>
          <w:sz w:val="20"/>
          <w:szCs w:val="20"/>
          <w:vertAlign w:val="superscript"/>
        </w:rPr>
        <w:t>____________</w:t>
      </w:r>
    </w:p>
    <w:p w14:paraId="4CDD0447" w14:textId="5BF206A9" w:rsidR="00000000" w:rsidRDefault="0060540B" w:rsidP="002C0EEA">
      <w:pPr>
        <w:jc w:val="center"/>
        <w:rPr>
          <w:rFonts w:ascii="Arial" w:hAnsi="Arial" w:cs="Arial"/>
          <w:b/>
          <w:bCs/>
          <w:sz w:val="20"/>
          <w:szCs w:val="20"/>
        </w:rPr>
      </w:pPr>
      <w:r w:rsidRPr="002C0EEA">
        <w:rPr>
          <w:rFonts w:ascii="Arial" w:hAnsi="Arial" w:cs="Arial"/>
          <w:b/>
          <w:bCs/>
          <w:sz w:val="20"/>
          <w:szCs w:val="20"/>
        </w:rPr>
        <w:t>QUỐC HỘI</w:t>
      </w:r>
    </w:p>
    <w:p w14:paraId="6EF66652" w14:textId="77777777" w:rsidR="002C0EEA" w:rsidRPr="002C0EEA" w:rsidRDefault="002C0EEA" w:rsidP="002C0EEA">
      <w:pPr>
        <w:jc w:val="center"/>
        <w:rPr>
          <w:rFonts w:ascii="Arial" w:hAnsi="Arial" w:cs="Arial"/>
          <w:sz w:val="20"/>
          <w:szCs w:val="20"/>
        </w:rPr>
      </w:pPr>
    </w:p>
    <w:p w14:paraId="55F9E4BE"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i/>
          <w:iCs/>
          <w:sz w:val="20"/>
          <w:szCs w:val="20"/>
        </w:rPr>
        <w:t>Căn cứ Hiến pháp nước Cộng hòa xã hội chủ</w:t>
      </w:r>
      <w:r w:rsidRPr="002C0EEA">
        <w:rPr>
          <w:rFonts w:ascii="Arial" w:hAnsi="Arial" w:cs="Arial"/>
          <w:i/>
          <w:iCs/>
          <w:sz w:val="20"/>
          <w:szCs w:val="20"/>
        </w:rPr>
        <w:t xml:space="preserve"> nghĩa Việt Nam;</w:t>
      </w:r>
    </w:p>
    <w:p w14:paraId="6EC93BC4"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i/>
          <w:iCs/>
          <w:sz w:val="20"/>
          <w:szCs w:val="20"/>
        </w:rPr>
        <w:t>Căn cứ Luật Tổ chức Quốc hội số 57/2014/QH13 đã được sửa đổi, bổ sung một số điều theo Luật số 65/2020/QH14;</w:t>
      </w:r>
    </w:p>
    <w:p w14:paraId="3906B9E0"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i/>
          <w:iCs/>
          <w:sz w:val="20"/>
          <w:szCs w:val="20"/>
        </w:rPr>
        <w:t>Căn cứ kết quả Kỳ họp thứ 6, Quốc hội khóa XV từ ngày 23 tháng 10 năm 2023 đến ngày 29 tháng 11 năm 2023;</w:t>
      </w:r>
    </w:p>
    <w:p w14:paraId="5215A0F6"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i/>
          <w:iCs/>
          <w:sz w:val="20"/>
          <w:szCs w:val="20"/>
        </w:rPr>
        <w:t xml:space="preserve">Theo đề nghị của Ủy ban </w:t>
      </w:r>
      <w:r w:rsidRPr="002C0EEA">
        <w:rPr>
          <w:rFonts w:ascii="Arial" w:hAnsi="Arial" w:cs="Arial"/>
          <w:i/>
          <w:iCs/>
          <w:sz w:val="20"/>
          <w:szCs w:val="20"/>
        </w:rPr>
        <w:t>Thường vụ Quốc hội và ý kiến của các đại biểu Quốc hội,</w:t>
      </w:r>
    </w:p>
    <w:p w14:paraId="22CCEE5C" w14:textId="77777777" w:rsidR="00000000" w:rsidRPr="002C0EEA" w:rsidRDefault="0060540B" w:rsidP="002C0EEA">
      <w:pPr>
        <w:spacing w:after="120"/>
        <w:ind w:firstLine="720"/>
        <w:jc w:val="center"/>
        <w:rPr>
          <w:rFonts w:ascii="Arial" w:hAnsi="Arial" w:cs="Arial"/>
          <w:sz w:val="20"/>
          <w:szCs w:val="20"/>
        </w:rPr>
      </w:pPr>
      <w:r w:rsidRPr="002C0EEA">
        <w:rPr>
          <w:rFonts w:ascii="Arial" w:hAnsi="Arial" w:cs="Arial"/>
          <w:b/>
          <w:bCs/>
          <w:sz w:val="20"/>
          <w:szCs w:val="20"/>
        </w:rPr>
        <w:t>QUYẾT NGHỊ</w:t>
      </w:r>
    </w:p>
    <w:p w14:paraId="2AE115F7"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b/>
          <w:bCs/>
          <w:sz w:val="20"/>
          <w:szCs w:val="20"/>
        </w:rPr>
        <w:t xml:space="preserve">1. </w:t>
      </w:r>
      <w:r w:rsidRPr="002C0EEA">
        <w:rPr>
          <w:rFonts w:ascii="Arial" w:hAnsi="Arial" w:cs="Arial"/>
          <w:sz w:val="20"/>
          <w:szCs w:val="20"/>
        </w:rPr>
        <w:t>Thông qua 07 luật: Luật Căn cước; Luật Kinh doanh bất động sản; Luật Lực lượng tham gia bảo vệ an ninh, trật tự ở cơ sở; Luật Nhà ở; Luật Quản lý, bảo vệ công trình quốc phòng và khu quâ</w:t>
      </w:r>
      <w:r w:rsidRPr="002C0EEA">
        <w:rPr>
          <w:rFonts w:ascii="Arial" w:hAnsi="Arial" w:cs="Arial"/>
          <w:sz w:val="20"/>
          <w:szCs w:val="20"/>
        </w:rPr>
        <w:t>n sự; Luật Tài nguyên nước; Luật Viễn thông.</w:t>
      </w:r>
    </w:p>
    <w:p w14:paraId="181476B4"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sz w:val="20"/>
          <w:szCs w:val="20"/>
        </w:rPr>
        <w:t>Thông qua 09 nghị quyết: Nghị quyết xác nhận kết quả lấy phiếu tín nhiệm đối với người giữ chức vụ do Quốc hội bầu hoặc phê chuẩn; Nghị quyết về Kế hoạch phát triển kinh tế - xã hội năm 2024; Nghị quyết về dự to</w:t>
      </w:r>
      <w:r w:rsidRPr="002C0EEA">
        <w:rPr>
          <w:rFonts w:ascii="Arial" w:hAnsi="Arial" w:cs="Arial"/>
          <w:sz w:val="20"/>
          <w:szCs w:val="20"/>
        </w:rPr>
        <w:t>án ngân sách nhà nước năm 2024; Nghị quyết về phân bổ ngân sách trung ương năm 2024; Nghị quyết thí điểm một số chính sách đặc thù về đầu tư xây dựng công trình đường bộ; Nghị quyết về việc áp dụng thuế thu nhập doanh nghiệp bổ sung theo quy định chống xói</w:t>
      </w:r>
      <w:r w:rsidRPr="002C0EEA">
        <w:rPr>
          <w:rFonts w:ascii="Arial" w:hAnsi="Arial" w:cs="Arial"/>
          <w:sz w:val="20"/>
          <w:szCs w:val="20"/>
        </w:rPr>
        <w:t xml:space="preserve"> mòn cơ sở thuế toàn cầu; Nghị quyết về giám sát chuyên đề “Việc triển khai thực hiện các nghị quyết của Quốc hội về các Chương trình mục tiêu quốc gia về xây dựng nông thôn mới giai đoạn 2021 - 2025, giảm nghèo bền vững giai đoạn 2021 - 2025, phát triển k</w:t>
      </w:r>
      <w:r w:rsidRPr="002C0EEA">
        <w:rPr>
          <w:rFonts w:ascii="Arial" w:hAnsi="Arial" w:cs="Arial"/>
          <w:sz w:val="20"/>
          <w:szCs w:val="20"/>
        </w:rPr>
        <w:t>inh tế - xã hội vùng đồng bào dân tộc thiểu số và miền núi giai đoạn 2021 - 2030”; Nghị quyết về tiếp tục thực hiện một số nghị quyết của Quốc hội khóa XIV và từ đầu nhiệm kỳ khóa XV đến hết Kỳ họp thứ 4 về giám sát chuyên đề, chất vấn; Nghị quyết Kỳ h</w:t>
      </w:r>
      <w:r w:rsidRPr="002C0EEA">
        <w:rPr>
          <w:rFonts w:ascii="Arial" w:hAnsi="Arial" w:cs="Arial"/>
          <w:sz w:val="20"/>
          <w:szCs w:val="20"/>
        </w:rPr>
        <w:t>ọp thứ 6, Quốc hội khóa XV.</w:t>
      </w:r>
    </w:p>
    <w:p w14:paraId="641AA64A"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sz w:val="20"/>
          <w:szCs w:val="20"/>
        </w:rPr>
        <w:t>Giao Ủy ban Thường vụ Quốc hội tổ chức quán triệt, triển khai các luật, nghị quyết nêu trên.</w:t>
      </w:r>
    </w:p>
    <w:p w14:paraId="6D6A48FC"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b/>
          <w:bCs/>
          <w:sz w:val="20"/>
          <w:szCs w:val="20"/>
        </w:rPr>
        <w:t xml:space="preserve">2. </w:t>
      </w:r>
      <w:r w:rsidRPr="002C0EEA">
        <w:rPr>
          <w:rFonts w:ascii="Arial" w:hAnsi="Arial" w:cs="Arial"/>
          <w:sz w:val="20"/>
          <w:szCs w:val="20"/>
        </w:rPr>
        <w:t xml:space="preserve">Cho ý kiến về việc tiếp thu, chỉnh lý và quyết định điều chỉnh thời điểm trình Quốc hội xem xét, thông qua dự án Luật Đất đai (sửa </w:t>
      </w:r>
      <w:r w:rsidRPr="002C0EEA">
        <w:rPr>
          <w:rFonts w:ascii="Arial" w:hAnsi="Arial" w:cs="Arial"/>
          <w:sz w:val="20"/>
          <w:szCs w:val="20"/>
        </w:rPr>
        <w:t>đổi) và dự án Luật Các tổ chức tín dụng (sửa đổi) sang kỳ họp gần nhất, bảo đảm chất lượng và kịp thời tháo gỡ khó khăn, vướng mắc từ thực tiễn hiện nay. Cho ý kiến lần đầu đối với 08 dự án luật: Luật Bảo hiểm xã hội (sửa đổi); Luật Công nghiệp quốc phòn</w:t>
      </w:r>
      <w:r w:rsidRPr="002C0EEA">
        <w:rPr>
          <w:rFonts w:ascii="Arial" w:hAnsi="Arial" w:cs="Arial"/>
          <w:sz w:val="20"/>
          <w:szCs w:val="20"/>
        </w:rPr>
        <w:t>g, an ninh và động viên công nghiệp; Luật Đường bộ; Luật Trật tự, an toàn giao thông đường bộ; Luật Lưu trữ (sửa đổi); Luật Thủ đô (sửa đổi); Luật Tổ chức Tòa án nhân dân (sửa đổi); Luật sửa đổi, bổ sung một số điều của Luật Đấu giá tài sản.</w:t>
      </w:r>
    </w:p>
    <w:p w14:paraId="217EDF2A"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sz w:val="20"/>
          <w:szCs w:val="20"/>
        </w:rPr>
        <w:t>Giao Ủy ban Th</w:t>
      </w:r>
      <w:r w:rsidRPr="002C0EEA">
        <w:rPr>
          <w:rFonts w:ascii="Arial" w:hAnsi="Arial" w:cs="Arial"/>
          <w:sz w:val="20"/>
          <w:szCs w:val="20"/>
        </w:rPr>
        <w:t>ường vụ Quốc hội chỉ đạo các cơ quan của Quốc hội phối hợp chặt chẽ với các cơ quan trình, cơ quan soạn thảo và các cơ quan hữu quan nghiên cứu, giải trình, tiếp thu tối đa ý kiến của đại biểu Quốc hội, chỉnh lý các dự thảo luật bảo đảm chất lượng, tiến độ</w:t>
      </w:r>
      <w:r w:rsidRPr="002C0EEA">
        <w:rPr>
          <w:rFonts w:ascii="Arial" w:hAnsi="Arial" w:cs="Arial"/>
          <w:sz w:val="20"/>
          <w:szCs w:val="20"/>
        </w:rPr>
        <w:t>.</w:t>
      </w:r>
    </w:p>
    <w:p w14:paraId="1B440C3A"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b/>
          <w:bCs/>
          <w:sz w:val="20"/>
          <w:szCs w:val="20"/>
        </w:rPr>
        <w:t xml:space="preserve">3. </w:t>
      </w:r>
      <w:r w:rsidRPr="002C0EEA">
        <w:rPr>
          <w:rFonts w:ascii="Arial" w:hAnsi="Arial" w:cs="Arial"/>
          <w:sz w:val="20"/>
          <w:szCs w:val="20"/>
        </w:rPr>
        <w:t>Quốc hội ghi nhận và đánh giá cao Ủy ban Thường vụ Quốc hội, Chính phủ, Thủ tướng Chính phủ, các cơ quan của Quốc hội, các Bộ, ngành, cơ quan trung ương và các địa phương đã tích cực, chủ động, trách nhiệm, khẩn trương và phối hợp chặt chẽ trong triển</w:t>
      </w:r>
      <w:r w:rsidRPr="002C0EEA">
        <w:rPr>
          <w:rFonts w:ascii="Arial" w:hAnsi="Arial" w:cs="Arial"/>
          <w:sz w:val="20"/>
          <w:szCs w:val="20"/>
        </w:rPr>
        <w:t xml:space="preserve"> khai rà soát hệ thống văn bản quy phạm pháp luật theo yêu cầu tại Nghị quyết số 101/2023/QH15.</w:t>
      </w:r>
    </w:p>
    <w:p w14:paraId="1C95C8DE"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sz w:val="20"/>
          <w:szCs w:val="20"/>
        </w:rPr>
        <w:t>Quốc hội đề nghị Chính phủ chỉ đạo khẩn trương xem xét, xử lý kết quả rà soát và báo cáo Quốc hội tại Kỳ họp thứ 7 đối với các nội dung do Hội đồng Dân tộc, c</w:t>
      </w:r>
      <w:r w:rsidRPr="002C0EEA">
        <w:rPr>
          <w:rFonts w:ascii="Arial" w:hAnsi="Arial" w:cs="Arial"/>
          <w:sz w:val="20"/>
          <w:szCs w:val="20"/>
        </w:rPr>
        <w:t xml:space="preserve">ác Ủy ban của Quốc hội, Tòa án nhân dân tối cao, Viện kiểm sát nhân dân tối cao, Kiểm toán nhà nước kiến nghị; có giải pháp khắc phục ngay </w:t>
      </w:r>
      <w:r w:rsidRPr="002C0EEA">
        <w:rPr>
          <w:rFonts w:ascii="Arial" w:hAnsi="Arial" w:cs="Arial"/>
          <w:sz w:val="20"/>
          <w:szCs w:val="20"/>
        </w:rPr>
        <w:lastRenderedPageBreak/>
        <w:t>các nội dung mâu thuẫn, chồng chéo, vướng mắc, bất cập đã được chỉ ra trong các văn bản dưới luật; nghiên cứu, đề xuấ</w:t>
      </w:r>
      <w:r w:rsidRPr="002C0EEA">
        <w:rPr>
          <w:rFonts w:ascii="Arial" w:hAnsi="Arial" w:cs="Arial"/>
          <w:sz w:val="20"/>
          <w:szCs w:val="20"/>
        </w:rPr>
        <w:t>t sửa đổi, bổ sung các luật, pháp lệnh có liên quan theo Chương trình xây dựng luật, pháp lệnh của Quốc hội năm 2024 và Kế hoạch số 81/KH -UBTVQH15 của Ủy ban Thường vụ Quốc hội triển khai thực hiện Kết luận số 19-KL/TW của Bộ Chính trị và Đề án định hướng</w:t>
      </w:r>
      <w:r w:rsidRPr="002C0EEA">
        <w:rPr>
          <w:rFonts w:ascii="Arial" w:hAnsi="Arial" w:cs="Arial"/>
          <w:sz w:val="20"/>
          <w:szCs w:val="20"/>
        </w:rPr>
        <w:t xml:space="preserve"> Chương trình xây dựng pháp luật nhiệm kỳ Quốc hội khóa XV.</w:t>
      </w:r>
    </w:p>
    <w:p w14:paraId="39479E2D"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sz w:val="20"/>
          <w:szCs w:val="20"/>
        </w:rPr>
        <w:t>Đồng thời, đề nghị Chính phủ, Thủ tướng Chính phủ, Tòa án nhân dân tối cao, Viện kiểm sát nhân dân tối cao, Kiểm toán nhà nước, các Bộ, ngành, cơ quan trung ương và các chính quyền địa phương tiế</w:t>
      </w:r>
      <w:r w:rsidRPr="002C0EEA">
        <w:rPr>
          <w:rFonts w:ascii="Arial" w:hAnsi="Arial" w:cs="Arial"/>
          <w:sz w:val="20"/>
          <w:szCs w:val="20"/>
        </w:rPr>
        <w:t>p tục siết chặt kỷ luật, kỷ cương, đề cao trách nhiệm người đứng đầu, tập trung đầu tư nguồn lực cho xây dựng và hoàn thiện đồng bộ thể chế phát triển, bảo đảm chất lượng, tiến độ xây dựng các dự án được giao theo Chương trình xây dựng luật, pháp lệnh; kịp</w:t>
      </w:r>
      <w:r w:rsidRPr="002C0EEA">
        <w:rPr>
          <w:rFonts w:ascii="Arial" w:hAnsi="Arial" w:cs="Arial"/>
          <w:sz w:val="20"/>
          <w:szCs w:val="20"/>
        </w:rPr>
        <w:t xml:space="preserve"> thời triển khai có hiệu quả các luật, nghị quyết được Quốc hội thông qua, ban hành đồng bộ, đúng thời hạn văn bản quy định chi tiết thi hành luật; có giải pháp khắc phục hiệu quả tình trạng né tránh, thiếu trách nhiệm trong một bộ phận cán bộ, công chức, </w:t>
      </w:r>
      <w:r w:rsidRPr="002C0EEA">
        <w:rPr>
          <w:rFonts w:ascii="Arial" w:hAnsi="Arial" w:cs="Arial"/>
          <w:sz w:val="20"/>
          <w:szCs w:val="20"/>
        </w:rPr>
        <w:t>viên chức; phát hiện, ngăn chặn kịp thời và xử lý nghiêm các hành vi tham nhũng, tiêu cực, “lợi ích nhóm”, “lợi ích cục bộ” trong công tác xây dựng và tổ chức thi hành pháp luật. Khẩn trương nghiên cứu, đề xuất sửa đổi Luật Ban hành văn bản quy phạm pháp l</w:t>
      </w:r>
      <w:r w:rsidRPr="002C0EEA">
        <w:rPr>
          <w:rFonts w:ascii="Arial" w:hAnsi="Arial" w:cs="Arial"/>
          <w:sz w:val="20"/>
          <w:szCs w:val="20"/>
        </w:rPr>
        <w:t>uật; hoàn thiện tiêu chí, quy trình, thủ tục rà soát văn bản quy phạm pháp luật để thực hiện thống nhất, hiệu quả; kịp thời phát hiện và xử lý các quy định có mâu thuẫn, chồng chéo, sơ hở, bất cập, tháo gỡ khó khăn, vướng mắc, khơi dậy mọi tiềm năng và ng</w:t>
      </w:r>
      <w:r w:rsidRPr="002C0EEA">
        <w:rPr>
          <w:rFonts w:ascii="Arial" w:hAnsi="Arial" w:cs="Arial"/>
          <w:sz w:val="20"/>
          <w:szCs w:val="20"/>
        </w:rPr>
        <w:t>uồn lực, tạo động lực mới cho sự phát triển nhanh và bền vững của đất nước.</w:t>
      </w:r>
    </w:p>
    <w:p w14:paraId="0B8C00AA"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b/>
          <w:bCs/>
          <w:sz w:val="20"/>
          <w:szCs w:val="20"/>
        </w:rPr>
        <w:t xml:space="preserve">4. </w:t>
      </w:r>
      <w:r w:rsidRPr="002C0EEA">
        <w:rPr>
          <w:rFonts w:ascii="Arial" w:hAnsi="Arial" w:cs="Arial"/>
          <w:sz w:val="20"/>
          <w:szCs w:val="20"/>
        </w:rPr>
        <w:t>Quốc hội yêu cầu Chính phủ, Tòa án nhân dân tối cao, Viện kiểm sát nhân dân tối cao và các cơ quan hữu quan tiếp tục triển khai thực hiện hiệu quả các chỉ tiêu, nhiệm vụ, giải p</w:t>
      </w:r>
      <w:r w:rsidRPr="002C0EEA">
        <w:rPr>
          <w:rFonts w:ascii="Arial" w:hAnsi="Arial" w:cs="Arial"/>
          <w:sz w:val="20"/>
          <w:szCs w:val="20"/>
        </w:rPr>
        <w:t xml:space="preserve">háp theo Nghị quyết số 96/2019/QH14 của Quốc hội về công tác phòng, chống tội phạm và vi phạm pháp luật, công tác của Viện kiểm sát nhân dân, Tòa án nhân dân và công tác thi hành án; trong đó, tăng cường biện pháp phòng ngừa, đấu tranh có hiệu quả với các </w:t>
      </w:r>
      <w:r w:rsidRPr="002C0EEA">
        <w:rPr>
          <w:rFonts w:ascii="Arial" w:hAnsi="Arial" w:cs="Arial"/>
          <w:sz w:val="20"/>
          <w:szCs w:val="20"/>
        </w:rPr>
        <w:t>loại tội phạm, nhất là tội phạm ma túy, tội phạm mua bán người, tội phạm công nghệ cao, tội phạm xâm hại, bạo hành trẻ em, giải quyết các đề nghị, kiến nghị về việc xem xét lại các bản án, quyết định, bảo đảm đúng căn cứ, trình tự, thủ tục, thẩm quyền, thờ</w:t>
      </w:r>
      <w:r w:rsidRPr="002C0EEA">
        <w:rPr>
          <w:rFonts w:ascii="Arial" w:hAnsi="Arial" w:cs="Arial"/>
          <w:sz w:val="20"/>
          <w:szCs w:val="20"/>
        </w:rPr>
        <w:t>i hạn theo quy định của các luật tố tụng.</w:t>
      </w:r>
    </w:p>
    <w:p w14:paraId="150224D8"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sz w:val="20"/>
          <w:szCs w:val="20"/>
        </w:rPr>
        <w:t>Chính phủ, Thủ tướng Chính phủ tiếp tục chỉ đạo tăng cường công tác thanh tra, kiểm tra, tập trung vào các lĩnh vực dễ phát sinh tham nhũng, tiêu cực (quản lý, sử dụng đất đai, tài nguyên, tài sản công; đấu thầu, m</w:t>
      </w:r>
      <w:r w:rsidRPr="002C0EEA">
        <w:rPr>
          <w:rFonts w:ascii="Arial" w:hAnsi="Arial" w:cs="Arial"/>
          <w:sz w:val="20"/>
          <w:szCs w:val="20"/>
        </w:rPr>
        <w:t>ua sắm tài sản công; đấu giá, tài chính, ngân hàng, chứng khoán, trái phiếu, xây dựng cơ bản, tổ chức cán bộ…); kịp thời phát hiện, ngăn chặn có hiệu quả tình trạng nhũng nhiễu, tiêu cực, gây phiền hà cho người dân, doanh nghiệp. Khẩn trương giải quyết các</w:t>
      </w:r>
      <w:r w:rsidRPr="002C0EEA">
        <w:rPr>
          <w:rFonts w:ascii="Arial" w:hAnsi="Arial" w:cs="Arial"/>
          <w:sz w:val="20"/>
          <w:szCs w:val="20"/>
        </w:rPr>
        <w:t xml:space="preserve"> vụ việc, vụ án tạm đình chỉ, trong đó tập trung xử lý những vụ đã hết hoặc gần hết thời hiệu truy cứu trách nhiệm hình sự, các trường hợp còn tồn đọng do lỗi chủ quan, không để xảy ra việc tạm đình chỉ không đúng pháp luật; đẩy nhanh tiến độ triển khai c</w:t>
      </w:r>
      <w:r w:rsidRPr="002C0EEA">
        <w:rPr>
          <w:rFonts w:ascii="Arial" w:hAnsi="Arial" w:cs="Arial"/>
          <w:sz w:val="20"/>
          <w:szCs w:val="20"/>
        </w:rPr>
        <w:t>ác đề án thực hiện ghi âm hoặc ghi hình có âm thanh trong tố tụng hình sự bảo đảm thống nhất trên phạm vi toàn quốc. Tăng cường kiểm tra, thanh tra, chấn chỉnh những tồn tại, hạn chế, vi phạm trong công tác thi hành án dân sự; tiếp tục hoàn thiện cơ chế, b</w:t>
      </w:r>
      <w:r w:rsidRPr="002C0EEA">
        <w:rPr>
          <w:rFonts w:ascii="Arial" w:hAnsi="Arial" w:cs="Arial"/>
          <w:sz w:val="20"/>
          <w:szCs w:val="20"/>
        </w:rPr>
        <w:t>ảo đảm kỷ luật, kỷ cương, nâng cao hiệu lực, hiệu quả công tác thi hành án hành chính.</w:t>
      </w:r>
    </w:p>
    <w:p w14:paraId="0E4C36F5"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sz w:val="20"/>
          <w:szCs w:val="20"/>
        </w:rPr>
        <w:t xml:space="preserve">Tòa án nhân dân tối cao tiếp tục có giải pháp để nâng cao chất lượng giải quyết án hành chính; tăng cường công tác hòa giải các vụ việc dân sự theo quy định của Bộ luật </w:t>
      </w:r>
      <w:r w:rsidRPr="002C0EEA">
        <w:rPr>
          <w:rFonts w:ascii="Arial" w:hAnsi="Arial" w:cs="Arial"/>
          <w:sz w:val="20"/>
          <w:szCs w:val="20"/>
        </w:rPr>
        <w:t>Tố tụng dân sự và đối thoại trong giải quyết các vụ án hành chính theo quy định của Luật Tố tụng hành chính; đẩy mạnh giải quyết đơn đề nghị giám đốc thẩm, tái thẩm thuộc thẩm quyền.</w:t>
      </w:r>
    </w:p>
    <w:p w14:paraId="1CE5093B"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sz w:val="20"/>
          <w:szCs w:val="20"/>
        </w:rPr>
        <w:t>Viện kiểm sát nhân dân tối cao triển khai các giải pháp không để xảy ra t</w:t>
      </w:r>
      <w:r w:rsidRPr="002C0EEA">
        <w:rPr>
          <w:rFonts w:ascii="Arial" w:hAnsi="Arial" w:cs="Arial"/>
          <w:sz w:val="20"/>
          <w:szCs w:val="20"/>
        </w:rPr>
        <w:t>rường hợp bị oan, sai trong tố tụng hình sự; nâng cao hiệu quả công tác kiểm sát việc giải quyết vụ việc dân sự, vụ án hành chính, thi hành án hình sự, thi hành án dân sự, thi hành án hành chính; tăng cường kiểm sát và kiến nghị xử lý các trường hợp chậm t</w:t>
      </w:r>
      <w:r w:rsidRPr="002C0EEA">
        <w:rPr>
          <w:rFonts w:ascii="Arial" w:hAnsi="Arial" w:cs="Arial"/>
          <w:sz w:val="20"/>
          <w:szCs w:val="20"/>
        </w:rPr>
        <w:t>hi hành án hành chính; đẩy mạnh giải quyết đơn đề nghị giám đốc thẩm, tái thẩm thuộc thẩm quyền.</w:t>
      </w:r>
    </w:p>
    <w:p w14:paraId="199FE711"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b/>
          <w:bCs/>
          <w:sz w:val="20"/>
          <w:szCs w:val="20"/>
        </w:rPr>
        <w:t xml:space="preserve">5. </w:t>
      </w:r>
      <w:r w:rsidRPr="002C0EEA">
        <w:rPr>
          <w:rFonts w:ascii="Arial" w:hAnsi="Arial" w:cs="Arial"/>
          <w:sz w:val="20"/>
          <w:szCs w:val="20"/>
        </w:rPr>
        <w:t>Đồng ý chủ trương, giao Chính phủ trong năm 2024 xây dựng dự thảo Nghị định về việc thành lập, quản lý và sử dụng Quỹ hỗ trợ đầu tư từ nguồn thu thuế thu nh</w:t>
      </w:r>
      <w:r w:rsidRPr="002C0EEA">
        <w:rPr>
          <w:rFonts w:ascii="Arial" w:hAnsi="Arial" w:cs="Arial"/>
          <w:sz w:val="20"/>
          <w:szCs w:val="20"/>
        </w:rPr>
        <w:t xml:space="preserve">ập doanh nghiệp bổ sung theo quy định chống xói mòn cơ sở thuế toàn cầu và các nguồn hợp pháp khác để ổn định môi trường đầu tư, khuyến khích, thu hút các nhà đầu tư chiến lược, các tập đoàn đa quốc gia và hỗ trợ các doanh nghiệp trong nước đối với một số </w:t>
      </w:r>
      <w:r w:rsidRPr="002C0EEA">
        <w:rPr>
          <w:rFonts w:ascii="Arial" w:hAnsi="Arial" w:cs="Arial"/>
          <w:sz w:val="20"/>
          <w:szCs w:val="20"/>
        </w:rPr>
        <w:t xml:space="preserve">lĩnh vực cần khuyến khích đầu tư, báo cáo Ủy ban Thường vụ Quốc hội cho ý kiến trước khi ban hành. Đồng thời, rà soát tổng thể để hoàn thiện đồng bộ hệ thống chính sách, pháp luật về khuyến khích đầu tư, đáp ứng yêu cầu phát triển đất nước trong tình hình </w:t>
      </w:r>
      <w:r w:rsidRPr="002C0EEA">
        <w:rPr>
          <w:rFonts w:ascii="Arial" w:hAnsi="Arial" w:cs="Arial"/>
          <w:sz w:val="20"/>
          <w:szCs w:val="20"/>
        </w:rPr>
        <w:t>mới.</w:t>
      </w:r>
    </w:p>
    <w:p w14:paraId="2670275B"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b/>
          <w:bCs/>
          <w:sz w:val="20"/>
          <w:szCs w:val="20"/>
        </w:rPr>
        <w:lastRenderedPageBreak/>
        <w:t xml:space="preserve">6. </w:t>
      </w:r>
      <w:r w:rsidRPr="002C0EEA">
        <w:rPr>
          <w:rFonts w:ascii="Arial" w:hAnsi="Arial" w:cs="Arial"/>
          <w:sz w:val="20"/>
          <w:szCs w:val="20"/>
        </w:rPr>
        <w:t xml:space="preserve">Giao Chính phủ tiếp tục tổ chức thực hiện tốt các Nghị quyết số 97/2019/QH14, số 119/2020/QH14, số 131/2020/QH14 và số 160/2021/QH14 của Quốc hội về tổ chức mô hình chính quyền đô thị tại Hà Nội, Thành phố Hồ Chí Minh và Đà Nẵng; nghiên cứu, trình </w:t>
      </w:r>
      <w:r w:rsidRPr="002C0EEA">
        <w:rPr>
          <w:rFonts w:ascii="Arial" w:hAnsi="Arial" w:cs="Arial"/>
          <w:sz w:val="20"/>
          <w:szCs w:val="20"/>
        </w:rPr>
        <w:t>Quốc hội xem xét sửa đổi, bổ sung Nghị quyết số 119/2020/QH14 của Quốc hội về thí điểm tổ chức mô hình chính quyền đô thị và một số cơ chế, chính sách đặc thù phát triển thành phố Đà Nẵng.</w:t>
      </w:r>
    </w:p>
    <w:p w14:paraId="37A2A008"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b/>
          <w:bCs/>
          <w:sz w:val="20"/>
          <w:szCs w:val="20"/>
        </w:rPr>
        <w:t xml:space="preserve">7. </w:t>
      </w:r>
      <w:r w:rsidRPr="002C0EEA">
        <w:rPr>
          <w:rFonts w:ascii="Arial" w:hAnsi="Arial" w:cs="Arial"/>
          <w:sz w:val="20"/>
          <w:szCs w:val="20"/>
        </w:rPr>
        <w:t>Đồng ý cho phép kéo dài thời gian thực hiện Dự án thu hồi đất, b</w:t>
      </w:r>
      <w:r w:rsidRPr="002C0EEA">
        <w:rPr>
          <w:rFonts w:ascii="Arial" w:hAnsi="Arial" w:cs="Arial"/>
          <w:sz w:val="20"/>
          <w:szCs w:val="20"/>
        </w:rPr>
        <w:t>ồi thường, hỗ trợ, tái định cư Cảng hàng không quốc tế Long Thành đến hết ngày 31 tháng 12 năm 2024; bổ sung 966,749 tỷ đồng từ dự phòng chung nguồn ngân sách trung ương của Kế hoạch đầu tư công trung hạn giai đoạn 2021 - 2025 cho Dự án.</w:t>
      </w:r>
    </w:p>
    <w:p w14:paraId="74E221CE"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sz w:val="20"/>
          <w:szCs w:val="20"/>
        </w:rPr>
        <w:t>Chính phủ chịu trá</w:t>
      </w:r>
      <w:r w:rsidRPr="002C0EEA">
        <w:rPr>
          <w:rFonts w:ascii="Arial" w:hAnsi="Arial" w:cs="Arial"/>
          <w:sz w:val="20"/>
          <w:szCs w:val="20"/>
        </w:rPr>
        <w:t>ch nhiệm về tính chính xác, đầy đủ của thông tin, số liệu báo cáo Quốc hội; chỉ đạo Bộ, ngành có liên quan và Ủy ban nhân dân tỉnh Đồng Nai phối hợp thực hiện và hoàn thành Dự án theo đúng tiến độ và quy định của Luật Ngân sách nhà nước, Luật Đầu tư công v</w:t>
      </w:r>
      <w:r w:rsidRPr="002C0EEA">
        <w:rPr>
          <w:rFonts w:ascii="Arial" w:hAnsi="Arial" w:cs="Arial"/>
          <w:sz w:val="20"/>
          <w:szCs w:val="20"/>
        </w:rPr>
        <w:t>à pháp luật có liên quan.</w:t>
      </w:r>
    </w:p>
    <w:p w14:paraId="2237BFF1"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b/>
          <w:bCs/>
          <w:sz w:val="20"/>
          <w:szCs w:val="20"/>
        </w:rPr>
        <w:t xml:space="preserve">8. </w:t>
      </w:r>
      <w:r w:rsidRPr="002C0EEA">
        <w:rPr>
          <w:rFonts w:ascii="Arial" w:hAnsi="Arial" w:cs="Arial"/>
          <w:sz w:val="20"/>
          <w:szCs w:val="20"/>
        </w:rPr>
        <w:t>Bổ sung nội dung đầu tư các dự án xây dựng, cải tạo, sửa chữa, mua sắm đầu tư trang thiết bị các bệnh viện tại Báo cáo số 581/BC-CP ngày 20 tháng 10 năm 2023 của Chính phủ vào điểm a mục 1.2 khoản 1 Điều 3 của Nghị quyết số 43/</w:t>
      </w:r>
      <w:r w:rsidRPr="002C0EEA">
        <w:rPr>
          <w:rFonts w:ascii="Arial" w:hAnsi="Arial" w:cs="Arial"/>
          <w:sz w:val="20"/>
          <w:szCs w:val="20"/>
        </w:rPr>
        <w:t>2022/QH15 của Quốc hội và cho phép chuyển nguồn 2.920,7 tỷ đồng nguồn tăng thu, cắt giảm, tiết kiệm chi ngân sách trung ương năm 2021 bố trí thực hiện chính sách hỗ trợ tiền thuê nhà cho người lao động theo quy định tại điểm a mục 1.3 khoản 1 Điều 3 của Ng</w:t>
      </w:r>
      <w:r w:rsidRPr="002C0EEA">
        <w:rPr>
          <w:rFonts w:ascii="Arial" w:hAnsi="Arial" w:cs="Arial"/>
          <w:sz w:val="20"/>
          <w:szCs w:val="20"/>
        </w:rPr>
        <w:t>hị quyết số 43/2022/QH15 còn dư sang năm 2024 cho các Bộ, cơ quan trung ương để triển khai thực hiện các dự án thuộc nội dung đầu tư nêu trên.</w:t>
      </w:r>
    </w:p>
    <w:p w14:paraId="4FCB4DCD"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sz w:val="20"/>
          <w:szCs w:val="20"/>
        </w:rPr>
        <w:t xml:space="preserve">Chính phủ trình Quốc hội xem xét, quyết định việc phân bổ vốn cho các Bộ, cơ quan trung ương để thực hiện các dự </w:t>
      </w:r>
      <w:r w:rsidRPr="002C0EEA">
        <w:rPr>
          <w:rFonts w:ascii="Arial" w:hAnsi="Arial" w:cs="Arial"/>
          <w:sz w:val="20"/>
          <w:szCs w:val="20"/>
        </w:rPr>
        <w:t xml:space="preserve">án thuộc nội dung đầu tư nêu trên khi đủ điều kiện, thủ tục đầu tư theo quy định của Luật Đầu tư công, Luật Ngân sách nhà nước, các Nghị quyết của Quốc hội và quy định của pháp luật có liên quan. Trường hợp cấp bách, trong thời gian giữa hai kỳ họp Quốc </w:t>
      </w:r>
      <w:r w:rsidRPr="002C0EEA">
        <w:rPr>
          <w:rFonts w:ascii="Arial" w:hAnsi="Arial" w:cs="Arial"/>
          <w:sz w:val="20"/>
          <w:szCs w:val="20"/>
        </w:rPr>
        <w:t>hội, báo cáo Ủy ban Thường vụ Quốc hội xem xét, quyết định và báo cáo Quốc hội tại kỳ họp gần nhất.</w:t>
      </w:r>
    </w:p>
    <w:p w14:paraId="457495BA"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sz w:val="20"/>
          <w:szCs w:val="20"/>
        </w:rPr>
        <w:t xml:space="preserve">Cho phép kéo dài thời gian thực hiện và giải ngân vốn đầu tư từ ngân sách nhà nước bố trí cho các dự án thuộc Chương trình phục hồi và phát triển kinh tế </w:t>
      </w:r>
      <w:r w:rsidRPr="002C0EEA">
        <w:rPr>
          <w:rFonts w:ascii="Arial" w:hAnsi="Arial" w:cs="Arial"/>
          <w:sz w:val="20"/>
          <w:szCs w:val="20"/>
        </w:rPr>
        <w:t>- xã hội đến hết ngày 31 tháng 12 năm 2024.</w:t>
      </w:r>
    </w:p>
    <w:p w14:paraId="24A0DBC3"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b/>
          <w:bCs/>
          <w:sz w:val="20"/>
          <w:szCs w:val="20"/>
        </w:rPr>
        <w:t xml:space="preserve">9. </w:t>
      </w:r>
      <w:r w:rsidRPr="002C0EEA">
        <w:rPr>
          <w:rFonts w:ascii="Arial" w:hAnsi="Arial" w:cs="Arial"/>
          <w:sz w:val="20"/>
          <w:szCs w:val="20"/>
        </w:rPr>
        <w:t xml:space="preserve">Đồng ý bổ sung 1.275 tỷ đồng chi đầu tư cho tỉnh Nghệ </w:t>
      </w:r>
      <w:proofErr w:type="gramStart"/>
      <w:r w:rsidRPr="002C0EEA">
        <w:rPr>
          <w:rFonts w:ascii="Arial" w:hAnsi="Arial" w:cs="Arial"/>
          <w:sz w:val="20"/>
          <w:szCs w:val="20"/>
        </w:rPr>
        <w:t>An</w:t>
      </w:r>
      <w:proofErr w:type="gramEnd"/>
      <w:r w:rsidRPr="002C0EEA">
        <w:rPr>
          <w:rFonts w:ascii="Arial" w:hAnsi="Arial" w:cs="Arial"/>
          <w:sz w:val="20"/>
          <w:szCs w:val="20"/>
        </w:rPr>
        <w:t xml:space="preserve"> từ nguồn tăng thu ngân sách trung ương năm 2022 để giải quyết đền bù giải phóng mặt bằng (bao gồm cả phần chậm trả) của các dự án mở rộng Quốc lộ 1 đoạn</w:t>
      </w:r>
      <w:r w:rsidRPr="002C0EEA">
        <w:rPr>
          <w:rFonts w:ascii="Arial" w:hAnsi="Arial" w:cs="Arial"/>
          <w:sz w:val="20"/>
          <w:szCs w:val="20"/>
        </w:rPr>
        <w:t xml:space="preserve"> qua tỉnh Nghệ An thuộc nhiệm vụ ngân sách trung ương phát sinh sau khi các dự án này đã quyết toán. Chính phủ chịu trách nhiệm về nội dung đề xuất, tính chính xác của thông tin, số liệu, căn cứ pháp lý khi triển khai thực hiện, chỉ thanh toán những nghĩa </w:t>
      </w:r>
      <w:r w:rsidRPr="002C0EEA">
        <w:rPr>
          <w:rFonts w:ascii="Arial" w:hAnsi="Arial" w:cs="Arial"/>
          <w:sz w:val="20"/>
          <w:szCs w:val="20"/>
        </w:rPr>
        <w:t>vụ thuộc trách nhiệm của Nhà nước, bảo đảm không phát sinh khiếu kiện.</w:t>
      </w:r>
    </w:p>
    <w:p w14:paraId="4A1B7D7D"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b/>
          <w:bCs/>
          <w:sz w:val="20"/>
          <w:szCs w:val="20"/>
        </w:rPr>
        <w:t xml:space="preserve">10. </w:t>
      </w:r>
      <w:r w:rsidRPr="002C0EEA">
        <w:rPr>
          <w:rFonts w:ascii="Arial" w:hAnsi="Arial" w:cs="Arial"/>
          <w:sz w:val="20"/>
          <w:szCs w:val="20"/>
        </w:rPr>
        <w:t>Giảm 2% thuế suất thuế giá trị gia tăng đối với các nhóm hàng hóa, dịch vụ quy định tại điểm a mục 1.1 khoản 1 Điều 3 của Nghị quyết số 43/2022/QH15 của Quốc hội về chính sách tài k</w:t>
      </w:r>
      <w:r w:rsidRPr="002C0EEA">
        <w:rPr>
          <w:rFonts w:ascii="Arial" w:hAnsi="Arial" w:cs="Arial"/>
          <w:sz w:val="20"/>
          <w:szCs w:val="20"/>
        </w:rPr>
        <w:t>hóa, tiền tệ hỗ trợ Chương trình phục hồi và phát triển kinh tế - xã hội trong thời gian từ ngày 01 tháng 01 năm 2024 đến hết ngày 30 tháng 6 năm 2024.</w:t>
      </w:r>
    </w:p>
    <w:p w14:paraId="1BAA005A"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sz w:val="20"/>
          <w:szCs w:val="20"/>
        </w:rPr>
        <w:t>Giao Chính phủ tổ chức thực hiện kịp thời, hiệu quả, không làm ảnh hưởng đến dự toán thu và bội chi ngân</w:t>
      </w:r>
      <w:r w:rsidRPr="002C0EEA">
        <w:rPr>
          <w:rFonts w:ascii="Arial" w:hAnsi="Arial" w:cs="Arial"/>
          <w:sz w:val="20"/>
          <w:szCs w:val="20"/>
        </w:rPr>
        <w:t xml:space="preserve"> sách nhà nước năm 2024 theo Nghị quyết của Quốc hội, báo cáo Quốc hội kết quả thực hiện tại Kỳ họp thứ 7, Quốc hội khóa XV.</w:t>
      </w:r>
    </w:p>
    <w:p w14:paraId="63DC2B4D"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b/>
          <w:bCs/>
          <w:sz w:val="20"/>
          <w:szCs w:val="20"/>
        </w:rPr>
        <w:t xml:space="preserve">11. </w:t>
      </w:r>
      <w:r w:rsidRPr="002C0EEA">
        <w:rPr>
          <w:rFonts w:ascii="Arial" w:hAnsi="Arial" w:cs="Arial"/>
          <w:sz w:val="20"/>
          <w:szCs w:val="20"/>
        </w:rPr>
        <w:t>Ủy ban Thường vụ Quốc hội, Chính phủ, Thủ tướng Chính phủ, Ủy ban Trung ương Mặt trận Tổ quốc Việt Nam, Tòa án nhân dân tối c</w:t>
      </w:r>
      <w:r w:rsidRPr="002C0EEA">
        <w:rPr>
          <w:rFonts w:ascii="Arial" w:hAnsi="Arial" w:cs="Arial"/>
          <w:sz w:val="20"/>
          <w:szCs w:val="20"/>
        </w:rPr>
        <w:t>ao, Viện kiểm sát nhân dân tối cao, Hội đồng Dân tộc, các Ủy ban của Quốc hội, Kiểm toán nhà nước, các Bộ, ngành, chính quyền địa phương các cấp theo chức năng, nhiệm vụ được giao tổ chức thực hiện có hiệu quả Nghị quyết này; tăng cường tuyên truyền, phổ b</w:t>
      </w:r>
      <w:r w:rsidRPr="002C0EEA">
        <w:rPr>
          <w:rFonts w:ascii="Arial" w:hAnsi="Arial" w:cs="Arial"/>
          <w:sz w:val="20"/>
          <w:szCs w:val="20"/>
        </w:rPr>
        <w:t>iến, giáo dục pháp luật để sớm triển khai thực hiện các luật, nghị quyết đã được Quốc hội thông qua.</w:t>
      </w:r>
    </w:p>
    <w:p w14:paraId="10760211"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sz w:val="20"/>
          <w:szCs w:val="20"/>
        </w:rPr>
        <w:t>Ủy ban Thường vụ Quốc hội, Hội đồng Dân tộc, các Ủy ban của Quốc hội, Đoàn đại biểu Quốc hội và đại biểu Quốc hội giám sát việc thực hiện Nghị quyết.</w:t>
      </w:r>
    </w:p>
    <w:p w14:paraId="1A39F888"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sz w:val="20"/>
          <w:szCs w:val="20"/>
        </w:rPr>
        <w:t>Ủy ba</w:t>
      </w:r>
      <w:r w:rsidRPr="002C0EEA">
        <w:rPr>
          <w:rFonts w:ascii="Arial" w:hAnsi="Arial" w:cs="Arial"/>
          <w:sz w:val="20"/>
          <w:szCs w:val="20"/>
        </w:rPr>
        <w:t>n Trung ương Mặt trận Tổ quốc Việt Nam và các tổ chức thành viên của Mặt trận giám sát và động viên các tầng lớp Nhân dân thực hiện Nghị quyết.</w:t>
      </w:r>
    </w:p>
    <w:p w14:paraId="3D002F48" w14:textId="77777777" w:rsidR="00000000" w:rsidRPr="002C0EEA" w:rsidRDefault="0060540B" w:rsidP="002C0EEA">
      <w:pPr>
        <w:spacing w:after="120"/>
        <w:ind w:firstLine="720"/>
        <w:jc w:val="both"/>
        <w:rPr>
          <w:rFonts w:ascii="Arial" w:hAnsi="Arial" w:cs="Arial"/>
          <w:sz w:val="20"/>
          <w:szCs w:val="20"/>
        </w:rPr>
      </w:pPr>
      <w:r w:rsidRPr="002C0EEA">
        <w:rPr>
          <w:rFonts w:ascii="Arial" w:hAnsi="Arial" w:cs="Arial"/>
          <w:i/>
          <w:iCs/>
          <w:sz w:val="20"/>
          <w:szCs w:val="20"/>
        </w:rPr>
        <w:lastRenderedPageBreak/>
        <w:t>Nghị quyết này được Quốc hội nước Cộng hòa xã hội chủ nghĩa Việt Nam khóa XV, Kỳ họp thứ 6 thông qua ngày 29 thá</w:t>
      </w:r>
      <w:r w:rsidRPr="002C0EEA">
        <w:rPr>
          <w:rFonts w:ascii="Arial" w:hAnsi="Arial" w:cs="Arial"/>
          <w:i/>
          <w:iCs/>
          <w:sz w:val="20"/>
          <w:szCs w:val="20"/>
        </w:rPr>
        <w:t>ng 11 năm 2023.</w:t>
      </w:r>
    </w:p>
    <w:p w14:paraId="4B22A7A2" w14:textId="77777777" w:rsidR="00000000" w:rsidRPr="002C0EEA" w:rsidRDefault="0060540B" w:rsidP="002C0EEA">
      <w:pPr>
        <w:jc w:val="center"/>
        <w:rPr>
          <w:rFonts w:ascii="Arial" w:hAnsi="Arial" w:cs="Arial"/>
          <w:sz w:val="20"/>
          <w:szCs w:val="20"/>
        </w:rPr>
      </w:pPr>
      <w:r w:rsidRPr="002C0EEA">
        <w:rPr>
          <w:rFonts w:ascii="Arial" w:hAnsi="Arial" w:cs="Arial"/>
          <w:b/>
          <w:b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2C0EEA" w14:paraId="10E2CD0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85E0D3" w14:textId="77777777" w:rsidR="00000000" w:rsidRPr="002C0EEA" w:rsidRDefault="0060540B" w:rsidP="002C0EEA">
            <w:pPr>
              <w:rPr>
                <w:rFonts w:ascii="Arial" w:hAnsi="Arial" w:cs="Arial"/>
                <w:sz w:val="20"/>
                <w:szCs w:val="20"/>
              </w:rPr>
            </w:pPr>
            <w:r w:rsidRPr="002C0EEA">
              <w:rPr>
                <w:rFonts w:ascii="Arial" w:hAnsi="Arial" w:cs="Arial"/>
                <w:sz w:val="20"/>
                <w:szCs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0EB281" w14:textId="77777777" w:rsidR="00000000" w:rsidRPr="002C0EEA" w:rsidRDefault="0060540B" w:rsidP="002C0EEA">
            <w:pPr>
              <w:jc w:val="center"/>
              <w:rPr>
                <w:rFonts w:ascii="Arial" w:hAnsi="Arial" w:cs="Arial"/>
                <w:sz w:val="20"/>
                <w:szCs w:val="20"/>
              </w:rPr>
            </w:pPr>
            <w:r w:rsidRPr="002C0EEA">
              <w:rPr>
                <w:rFonts w:ascii="Arial" w:hAnsi="Arial" w:cs="Arial"/>
                <w:b/>
                <w:bCs/>
                <w:sz w:val="20"/>
                <w:szCs w:val="20"/>
              </w:rPr>
              <w:t xml:space="preserve">CHỦ TỊCH QUỐC HỘI </w:t>
            </w:r>
            <w:r w:rsidRPr="002C0EEA">
              <w:rPr>
                <w:rFonts w:ascii="Arial" w:hAnsi="Arial" w:cs="Arial"/>
                <w:b/>
                <w:bCs/>
                <w:sz w:val="20"/>
                <w:szCs w:val="20"/>
              </w:rPr>
              <w:br/>
            </w:r>
            <w:r w:rsidRPr="002C0EEA">
              <w:rPr>
                <w:rFonts w:ascii="Arial" w:hAnsi="Arial" w:cs="Arial"/>
                <w:b/>
                <w:bCs/>
                <w:sz w:val="20"/>
                <w:szCs w:val="20"/>
              </w:rPr>
              <w:br/>
            </w:r>
            <w:r w:rsidRPr="002C0EEA">
              <w:rPr>
                <w:rFonts w:ascii="Arial" w:hAnsi="Arial" w:cs="Arial"/>
                <w:b/>
                <w:bCs/>
                <w:sz w:val="20"/>
                <w:szCs w:val="20"/>
              </w:rPr>
              <w:br/>
            </w:r>
            <w:r w:rsidRPr="002C0EEA">
              <w:rPr>
                <w:rFonts w:ascii="Arial" w:hAnsi="Arial" w:cs="Arial"/>
                <w:b/>
                <w:bCs/>
                <w:sz w:val="20"/>
                <w:szCs w:val="20"/>
              </w:rPr>
              <w:br/>
            </w:r>
            <w:r w:rsidRPr="002C0EEA">
              <w:rPr>
                <w:rFonts w:ascii="Arial" w:hAnsi="Arial" w:cs="Arial"/>
                <w:b/>
                <w:bCs/>
                <w:sz w:val="20"/>
                <w:szCs w:val="20"/>
              </w:rPr>
              <w:br/>
              <w:t>Vương Đình Huệ</w:t>
            </w:r>
          </w:p>
        </w:tc>
      </w:tr>
    </w:tbl>
    <w:p w14:paraId="67DFD73C" w14:textId="77777777" w:rsidR="00000000" w:rsidRPr="002C0EEA" w:rsidRDefault="0060540B" w:rsidP="002C0EEA">
      <w:pPr>
        <w:jc w:val="center"/>
        <w:rPr>
          <w:rFonts w:ascii="Arial" w:hAnsi="Arial" w:cs="Arial"/>
          <w:sz w:val="20"/>
          <w:szCs w:val="20"/>
        </w:rPr>
      </w:pPr>
      <w:r w:rsidRPr="002C0EEA">
        <w:rPr>
          <w:rFonts w:ascii="Arial" w:hAnsi="Arial" w:cs="Arial"/>
          <w:b/>
          <w:bCs/>
          <w:sz w:val="20"/>
          <w:szCs w:val="20"/>
        </w:rPr>
        <w:t> </w:t>
      </w:r>
    </w:p>
    <w:p w14:paraId="11510F43" w14:textId="77777777" w:rsidR="00000000" w:rsidRPr="002C0EEA" w:rsidRDefault="0060540B" w:rsidP="002C0EEA">
      <w:pPr>
        <w:jc w:val="center"/>
        <w:rPr>
          <w:rFonts w:ascii="Arial" w:hAnsi="Arial" w:cs="Arial"/>
          <w:sz w:val="20"/>
          <w:szCs w:val="20"/>
        </w:rPr>
      </w:pPr>
      <w:r w:rsidRPr="002C0EEA">
        <w:rPr>
          <w:rFonts w:ascii="Arial" w:hAnsi="Arial" w:cs="Arial"/>
          <w:sz w:val="20"/>
          <w:szCs w:val="20"/>
        </w:rPr>
        <w:t> </w:t>
      </w:r>
    </w:p>
    <w:p w14:paraId="6DC3377B" w14:textId="77777777" w:rsidR="0060540B" w:rsidRPr="002C0EEA" w:rsidRDefault="0060540B" w:rsidP="002C0EEA">
      <w:pPr>
        <w:rPr>
          <w:rFonts w:ascii="Arial" w:hAnsi="Arial" w:cs="Arial"/>
          <w:sz w:val="20"/>
          <w:szCs w:val="20"/>
        </w:rPr>
      </w:pPr>
      <w:r w:rsidRPr="002C0EEA">
        <w:rPr>
          <w:rFonts w:ascii="Arial" w:hAnsi="Arial" w:cs="Arial"/>
          <w:b/>
          <w:bCs/>
          <w:sz w:val="20"/>
          <w:szCs w:val="20"/>
        </w:rPr>
        <w:t> </w:t>
      </w:r>
    </w:p>
    <w:sectPr w:rsidR="0060540B" w:rsidRPr="002C0E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EA"/>
    <w:rsid w:val="002C0EEA"/>
    <w:rsid w:val="006054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9FE50"/>
  <w15:chartTrackingRefBased/>
  <w15:docId w15:val="{87180727-B339-441D-B638-436F79E4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1922</Words>
  <Characters>10958</Characters>
  <Application>Microsoft Office Word</Application>
  <DocSecurity>0</DocSecurity>
  <Lines>91</Lines>
  <Paragraphs>25</Paragraphs>
  <ScaleCrop>false</ScaleCrop>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Hải Yến</cp:lastModifiedBy>
  <cp:revision>2</cp:revision>
  <cp:lastPrinted>1601-01-01T00:00:00Z</cp:lastPrinted>
  <dcterms:created xsi:type="dcterms:W3CDTF">2023-12-11T01:43:00Z</dcterms:created>
  <dcterms:modified xsi:type="dcterms:W3CDTF">2023-12-11T01:43:00Z</dcterms:modified>
</cp:coreProperties>
</file>