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E30A16" w:rsidRPr="00E30A16" w14:paraId="370DD0FD" w14:textId="77777777" w:rsidTr="00E30A16">
        <w:tc>
          <w:tcPr>
            <w:tcW w:w="2194" w:type="pct"/>
          </w:tcPr>
          <w:p w14:paraId="03B19D63" w14:textId="7CA898A2" w:rsidR="00C4796A" w:rsidRPr="00E30A16" w:rsidRDefault="00E82146" w:rsidP="00E30A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t>145/2026/NĐ-CP</w:t>
            </w:r>
          </w:p>
        </w:tc>
        <w:tc>
          <w:tcPr>
            <w:tcW w:w="2806" w:type="pct"/>
          </w:tcPr>
          <w:p w14:paraId="4FEFA15A" w14:textId="0285259E" w:rsidR="00C4796A" w:rsidRPr="00E30A16" w:rsidRDefault="00E82146" w:rsidP="00E30A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AE577F"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AE577F"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AE577F"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AE577F"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05</w:t>
            </w:r>
            <w:r w:rsidR="00AE577F"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AE577F"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5</w:t>
            </w:r>
            <w:r w:rsidR="00AE577F"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AE577F"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30A1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002EF100" w14:textId="77777777" w:rsidR="00AE577F" w:rsidRPr="00E30A16" w:rsidRDefault="00AE577F" w:rsidP="00AE577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C94003" w14:textId="77777777" w:rsidR="00AE577F" w:rsidRPr="00E30A16" w:rsidRDefault="00AE577F" w:rsidP="00AE577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1744D7" w14:textId="23E02A73" w:rsidR="00C4796A" w:rsidRPr="00E30A16" w:rsidRDefault="00E82146" w:rsidP="00AE577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C7DBE63" w14:textId="50FF998A" w:rsidR="00C4796A" w:rsidRPr="00E30A16" w:rsidRDefault="00E82146" w:rsidP="00AE577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nh m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i dung v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cơ ch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 lý tài chính, đánh giá, x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br/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doanh nghi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công ty</w:t>
      </w:r>
      <w:r w:rsidR="00AE577F" w:rsidRPr="00E30A16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Lưu ký và Bù tr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64088E63" w14:textId="77777777" w:rsidR="00AE577F" w:rsidRPr="00E30A16" w:rsidRDefault="00AE577F" w:rsidP="00AE577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EFD8600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6F0A8404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t Doanh nghi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59/2020/QH14 đư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03/2022/QH15 và Lu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76/2025/QH15;</w:t>
      </w:r>
    </w:p>
    <w:p w14:paraId="01777B61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n lý và 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68/2025/QH15;</w:t>
      </w:r>
    </w:p>
    <w:p w14:paraId="5FC4D755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t Ch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ng khoán s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54/2019/QH14 đư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56/2024/QH15;</w:t>
      </w:r>
    </w:p>
    <w:p w14:paraId="1D85C055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2F3043C3" w14:textId="77777777" w:rsidR="00C4796A" w:rsidRPr="00E30A16" w:rsidRDefault="00E82146" w:rsidP="00AE577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h m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i dung v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cơ ch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n lý tài chính, đánh giá, x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p lo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p 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i/>
          <w:color w:val="000000" w:themeColor="text1"/>
          <w:sz w:val="20"/>
          <w:szCs w:val="20"/>
        </w:rPr>
        <w:t>t Nam.</w:t>
      </w:r>
    </w:p>
    <w:p w14:paraId="419CB7BC" w14:textId="77777777" w:rsidR="00AE577F" w:rsidRPr="00E30A16" w:rsidRDefault="00AE577F" w:rsidP="00AE577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A4633C" w14:textId="4900DFF6" w:rsidR="00C4796A" w:rsidRPr="00E30A16" w:rsidRDefault="00E82146" w:rsidP="00AE577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627FD501" w14:textId="77777777" w:rsidR="00C4796A" w:rsidRPr="00E30A16" w:rsidRDefault="00E82146" w:rsidP="00AE577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5245B364" w14:textId="77777777" w:rsidR="00AE577F" w:rsidRPr="00E30A16" w:rsidRDefault="00AE577F" w:rsidP="00AE577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D1B69E4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nh và 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FBA4A8F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tài chính, đánh giá, x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8CB3E05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18171937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92F0CD3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D0BDD2F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Tài chính là cơ quan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và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B312872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và cá nhân khác có liên quan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cơ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tài chính và đánh giá, x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và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7E9651E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u 2. Nguyên t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c áp d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pháp lu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FD92994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1. Ngoài các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nêu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này,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và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tài chính, đánh giá, x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và các văn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91D125E" w14:textId="77777777" w:rsidR="00C4796A" w:rsidRPr="00E30A16" w:rsidRDefault="00E82146" w:rsidP="00AE577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có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khác nhau gi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các văn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6212766" w14:textId="77777777" w:rsidR="00AE577F" w:rsidRPr="00E30A16" w:rsidRDefault="00AE577F" w:rsidP="00AE577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5686DF" w14:textId="77777777" w:rsidR="00C4796A" w:rsidRPr="00E30A16" w:rsidRDefault="00E82146" w:rsidP="00AE577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41811A57" w14:textId="77777777" w:rsidR="00C4796A" w:rsidRPr="00E30A16" w:rsidRDefault="00E82146" w:rsidP="00AE577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CH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br/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NG CÔNG TY LƯU KÝ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br/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VÀ BÙ TR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4354A6BA" w14:textId="77777777" w:rsidR="00AE577F" w:rsidRPr="00E30A16" w:rsidRDefault="00AE577F" w:rsidP="00AE577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0DC42DE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bookmarkStart w:id="0" w:name="_GoBack"/>
      <w:bookmarkEnd w:id="0"/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3. Ho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6CFDE828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lastRenderedPageBreak/>
        <w:t>1.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và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và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3C0387F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2. Ngoài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này,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và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xác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rõ các xung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ích có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phát sinh khi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tư, bi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soát xung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ích và báo cáo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xem xét,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tư.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và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044449D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u 4. Doanh 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thu</w:t>
      </w:r>
    </w:p>
    <w:p w14:paraId="36092B21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doanh thu và thu nh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khác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p. Doanh thu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bao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8C860A4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a)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theo quy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t, bao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thành viên;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ng; doanh thu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A302A46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b)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thông tin;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cho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khoán; doanh thu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4D2B033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c) Doanh thu và thu nh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vào công ty con bao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thu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sau thu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sau khi trích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các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công ty con, thu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chênh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và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công ty con; doanh thu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tài chính và thu nh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khác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1BE562B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doanh thu và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khác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p. Doanh thu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bao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DFC6798" w14:textId="54E3A4A6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a)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t, bao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đăng ký,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thành viên;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đăng ký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khoán,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y đăng ký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m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thông tin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đăng ký;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lưu ký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khoán;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khoán; doa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n;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</w:t>
      </w:r>
      <w:r w:rsidR="00C9297E">
        <w:rPr>
          <w:rFonts w:ascii="Arial" w:hAnsi="Arial" w:cs="Arial"/>
          <w:color w:val="000000" w:themeColor="text1"/>
          <w:sz w:val="20"/>
          <w:szCs w:val="20"/>
        </w:rPr>
        <w:t xml:space="preserve"> chuyển quyền sở hữu chứng khoán ngoài hệ thống giao dịch; doanh thu từ hoạt động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vay, cho vay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khoán;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thanh toán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c, lãi, ti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mua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công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trái p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phương;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thanh toán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khoán,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lý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sau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ch;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đăng ký bi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pháp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đã đăng ký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Nam; doanh thu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phong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theo yêu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tư;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lưu ký, thanh toán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phát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khí nhà kính, tín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các-bon và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71EFFFE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b)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thông tin; doanh thu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B4FA1F0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c) Doanh thu và thu nh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vào công ty con bao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thu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sau thu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sau khi trích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các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công ty con, thu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chênh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và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công ty con; doanh thu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tài chính và thu nh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khác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9047F55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d) Ngoài doanh thu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tài chính và thu nh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khác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toán vào doanh thu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tài chính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lãi ti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phát sinh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thanh toán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c,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c, lãi, ti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mua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công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phương, các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khác và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7C959F31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u 5. Chi phí</w:t>
      </w:r>
    </w:p>
    <w:p w14:paraId="1309074D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lastRenderedPageBreak/>
        <w:t>1.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chi phí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p,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và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5C69C90C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c tính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vào chi phí khi xác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thu nh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chi phí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thù sau đây:</w:t>
      </w:r>
    </w:p>
    <w:p w14:paraId="6152B46A" w14:textId="486DB4E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a) Chi</w:t>
      </w:r>
      <w:r w:rsidR="00E120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trích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phòng ng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ro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khoán.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trích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phòng ng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ro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hàng quý. Trong nă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tài chính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không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dư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sang năm sau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CE0254B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b) Chi phí chuy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công ty con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không qua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oán.</w:t>
      </w:r>
    </w:p>
    <w:p w14:paraId="7E037F77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u 6. Đánh giá, x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73DF489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đánh giá, x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do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gi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100%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DB12CC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2. Khi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đánh giá, x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p, ngoài các 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do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100%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các 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456CEC95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a) Thay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chính sách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c làm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doanh thu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này và doanh thu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7EBCED1D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Nam,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doanh thu và thu nh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vào công ty con thay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 tác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các 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: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thành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iên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Nam;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niêm 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đăng ký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ch; kh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và giá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ch; giá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trái phi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trúng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u, k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và quy mô huy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thông qua phát hành trái phi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u; giá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trái phi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u; giá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không qua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ch; kh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phái sinh; kh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các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khác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khoán;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á, chào bán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tranh,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;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sàn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các-bon trong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c;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các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khác.</w:t>
      </w:r>
    </w:p>
    <w:p w14:paraId="30E15B56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Nam, doanh thu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o bi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các 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: kh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lưu ký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trong năm; giá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đăng ký (l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u)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trong năm và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đăng ký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sung; giá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thanh toán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c, lãi, ti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mua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công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Chính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phương;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đông tương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và giá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khoán; giá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không qua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khoán;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đăng ký thành viên;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thành viên lưu ký, thành viên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và giá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vay và cho vay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khoán;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dư tài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ngày, giá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và kh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phái sinh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x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lý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sau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ch;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sơ đăng ký bi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m; giá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phong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a; kh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phát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khí nhà kính, tín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các-bon lưu ký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trong năm;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và kh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n, giá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anh toán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phát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khí nhà kính, tín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các-bon; doanh thu và thu nh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vào công ty con thay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 tác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khách quan khi cung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5079B800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u 7. Qu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 lý 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i công ty do S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 Nam và T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 Nam n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m gi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100% v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6894B5F5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và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các công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y do mình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100%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p,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p,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và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C156FAA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và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cho ý ki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ban hành quy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công ty con. Quy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tài chính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công ty con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bao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dung cơ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4D69A9AB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lastRenderedPageBreak/>
        <w:t>a)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huy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ra bên ngoài.</w:t>
      </w:r>
    </w:p>
    <w:p w14:paraId="699EE7F3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tư, cho thuê, thuê mua,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mua, bán tài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nh,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0354586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c) Doanh thu và chi phí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công ty con. Trong đó, công ty con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toán vào doanh thu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tài chính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lãi ti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phát sinh liên quan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giá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khoán; công ty con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tính vào chi phí khi xác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thu nh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chi trích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phòng ng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ro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66B8DCE6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d) Phân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sau thu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và trích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các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CFF5EBC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đ) Các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dung khác theo yêu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4BE243D0" w14:textId="77777777" w:rsidR="00C4796A" w:rsidRPr="00E30A16" w:rsidRDefault="00E82146" w:rsidP="00AE577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và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ng, ban hành quy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quy trình và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giám sát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giám sát tài chính và ki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tra, đánh giá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các công ty do mình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100%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theo các quy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quy trình, phù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A736381" w14:textId="77777777" w:rsidR="00AE577F" w:rsidRPr="00E30A16" w:rsidRDefault="00AE577F" w:rsidP="00AE577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506385" w14:textId="218D07DD" w:rsidR="00C4796A" w:rsidRPr="00E30A16" w:rsidRDefault="00E82146" w:rsidP="00AE577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III</w:t>
      </w:r>
    </w:p>
    <w:p w14:paraId="2106C0CE" w14:textId="77777777" w:rsidR="00C4796A" w:rsidRPr="00E30A16" w:rsidRDefault="00E82146" w:rsidP="00AE577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TRÁCH NHI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A CÁC CƠ QUAN CÓ LIÊN QUAN VÀ T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F229324" w14:textId="77777777" w:rsidR="00AE577F" w:rsidRPr="00E30A16" w:rsidRDefault="00AE577F" w:rsidP="00AE577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1F705C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u 8. Trách nhi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a S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 Nam và T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202644E0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1. Tuân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tài chính và đánh giá, x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i doanh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p, tuân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báo cáo và công khai thông tin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p,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khoán, các văn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và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72D1BD7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giám sát, ki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và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giám sát, thanh tra, ki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công tác tài chính.</w:t>
      </w:r>
    </w:p>
    <w:p w14:paraId="1891F87A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giám sát, ki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tra,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mình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công ty con;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giám sát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2F60D0E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u 9. Trách nhi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</w:t>
      </w:r>
    </w:p>
    <w:p w14:paraId="245F966C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và trách nhi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p, các văn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và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21A79E4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2. Đánh giá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hành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trình Chính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ban hành,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tài chính, đánh giá, x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CC2CC56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u 10. Hi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c thi hành và t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825D509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ngày 22 tháng 6 năm 2026 và áp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năm tài chính 2026.</w:t>
      </w:r>
    </w:p>
    <w:p w14:paraId="0E6AAA4A" w14:textId="77777777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59/2021/NĐ-CP ngày 18 tháng 6 năm 2021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thù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tài chính, đánh giá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thi hà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2D13A191" w14:textId="5C7395BB" w:rsidR="00C4796A" w:rsidRPr="00E30A16" w:rsidRDefault="00E82146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“đi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59/2021/NĐ-CP ngày 18 tháng 6 năm 2021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thù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tài chính, đánh giá 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Nam”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248/2025/NĐ-CP ngày 25 tháng 7 năm 2025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lương, thù lao, ti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p, ngư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và Ki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soát viên trong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thành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“đi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145/2026/NĐ-CP ngày 05 tháng 5 năm 2026 c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 lý tài chín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h, đánh giá, x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t Nam”. </w:t>
      </w:r>
    </w:p>
    <w:p w14:paraId="6529F27E" w14:textId="77777777" w:rsidR="00C4796A" w:rsidRPr="00E30A16" w:rsidRDefault="00E82146" w:rsidP="00AE577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0A16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Tài chính, 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thành viên,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công ty Lưu ký và Bù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r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30A1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40BF901" w14:textId="77777777" w:rsidR="00AE577F" w:rsidRPr="00E30A16" w:rsidRDefault="00AE577F" w:rsidP="00AE577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677"/>
        <w:gridCol w:w="4349"/>
      </w:tblGrid>
      <w:tr w:rsidR="00E30A16" w:rsidRPr="00E30A16" w14:paraId="79321E0F" w14:textId="77777777" w:rsidTr="00E30A16">
        <w:tc>
          <w:tcPr>
            <w:tcW w:w="2591" w:type="pct"/>
          </w:tcPr>
          <w:p w14:paraId="226782C8" w14:textId="69431B54" w:rsidR="00C4796A" w:rsidRPr="00E30A16" w:rsidRDefault="00E82146" w:rsidP="00AE577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0A1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E30A1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E30A1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Ban Bí thư Trung ương Đảng;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Sở Giao dịch Chứng khoán Việt Nam;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Tổng công ty Lưu ký và Bù trừ chứng khoán Việt Nam;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KTTH (2b).</w:t>
            </w:r>
          </w:p>
        </w:tc>
        <w:tc>
          <w:tcPr>
            <w:tcW w:w="2409" w:type="pct"/>
          </w:tcPr>
          <w:p w14:paraId="4082E904" w14:textId="3F61D117" w:rsidR="00C4796A" w:rsidRPr="00E30A16" w:rsidRDefault="00E82146" w:rsidP="00AE577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AE577F"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Nguy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Văn Th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ắ</w:t>
            </w:r>
            <w:r w:rsidRPr="00E30A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</w:tr>
    </w:tbl>
    <w:p w14:paraId="5FF0E762" w14:textId="02196BCD" w:rsidR="00C4796A" w:rsidRPr="00E30A16" w:rsidRDefault="00C4796A" w:rsidP="00AE577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39C6667" w14:textId="77777777" w:rsidR="00AE577F" w:rsidRPr="00E30A16" w:rsidRDefault="00AE577F" w:rsidP="00AE577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AE577F" w:rsidRPr="00E30A16" w:rsidSect="00AE577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80AA2" w14:textId="77777777" w:rsidR="00E82146" w:rsidRDefault="00E82146">
      <w:pPr>
        <w:spacing w:after="0" w:line="240" w:lineRule="auto"/>
      </w:pPr>
      <w:r>
        <w:separator/>
      </w:r>
    </w:p>
  </w:endnote>
  <w:endnote w:type="continuationSeparator" w:id="0">
    <w:p w14:paraId="7584E9C4" w14:textId="77777777" w:rsidR="00E82146" w:rsidRDefault="00E8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D9BA5" w14:textId="77777777" w:rsidR="00E82146" w:rsidRDefault="00E82146">
      <w:pPr>
        <w:spacing w:after="0" w:line="240" w:lineRule="auto"/>
      </w:pPr>
      <w:r>
        <w:separator/>
      </w:r>
    </w:p>
  </w:footnote>
  <w:footnote w:type="continuationSeparator" w:id="0">
    <w:p w14:paraId="00B2B6A4" w14:textId="77777777" w:rsidR="00E82146" w:rsidRDefault="00E82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6A"/>
    <w:rsid w:val="00013884"/>
    <w:rsid w:val="00160BD5"/>
    <w:rsid w:val="0023019F"/>
    <w:rsid w:val="002E6A4E"/>
    <w:rsid w:val="003216A4"/>
    <w:rsid w:val="00335B40"/>
    <w:rsid w:val="003C56F0"/>
    <w:rsid w:val="003F4D25"/>
    <w:rsid w:val="004E356E"/>
    <w:rsid w:val="004F5310"/>
    <w:rsid w:val="006F11A8"/>
    <w:rsid w:val="009B7F85"/>
    <w:rsid w:val="00AE577F"/>
    <w:rsid w:val="00C4796A"/>
    <w:rsid w:val="00C9297E"/>
    <w:rsid w:val="00E120D8"/>
    <w:rsid w:val="00E30A16"/>
    <w:rsid w:val="00E8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2124"/>
  <w15:docId w15:val="{98C0D7AD-E68D-4C21-AA89-AA700DC2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77F"/>
  </w:style>
  <w:style w:type="paragraph" w:styleId="Footer">
    <w:name w:val="footer"/>
    <w:basedOn w:val="Normal"/>
    <w:link w:val="FooterChar"/>
    <w:uiPriority w:val="99"/>
    <w:unhideWhenUsed/>
    <w:rsid w:val="00AE5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2377</Words>
  <Characters>13549</Characters>
  <Application>Microsoft Office Word</Application>
  <DocSecurity>0</DocSecurity>
  <Lines>112</Lines>
  <Paragraphs>31</Paragraphs>
  <ScaleCrop>false</ScaleCrop>
  <Company/>
  <LinksUpToDate>false</LinksUpToDate>
  <CharactersWithSpaces>15895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12</cp:revision>
  <dcterms:created xsi:type="dcterms:W3CDTF">2026-05-07T09:28:00Z</dcterms:created>
  <dcterms:modified xsi:type="dcterms:W3CDTF">2026-05-08T01:14:00Z</dcterms:modified>
</cp:coreProperties>
</file>