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5745"/>
      </w:tblGrid>
      <w:tr w:rsidR="00877507" w:rsidRPr="0063332A" w:rsidTr="00D827F5">
        <w:trPr>
          <w:trHeight w:val="340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D12" w:rsidRPr="0063332A" w:rsidRDefault="00971D12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BỘ TÀI CHÍNH</w:t>
            </w: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63332A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</w:t>
            </w:r>
          </w:p>
          <w:p w:rsidR="00971D12" w:rsidRPr="0063332A" w:rsidRDefault="00971D12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Số: 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337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/QĐ-BTC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D12" w:rsidRPr="0063332A" w:rsidRDefault="00971D12" w:rsidP="00877507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</w:pP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63332A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________________________</w:t>
            </w:r>
          </w:p>
          <w:p w:rsidR="00971D12" w:rsidRPr="0063332A" w:rsidRDefault="00971D12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Hà Nội</w:t>
            </w:r>
            <w:r w:rsidRPr="0063332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ngày 2</w:t>
            </w:r>
            <w:r w:rsidRPr="0063332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7</w:t>
            </w:r>
            <w:r w:rsidRPr="0063332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tháng</w:t>
            </w:r>
            <w:r w:rsidRPr="0063332A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02 </w:t>
            </w:r>
            <w:r w:rsidRPr="0063332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năm 2024</w:t>
            </w:r>
          </w:p>
        </w:tc>
      </w:tr>
    </w:tbl>
    <w:p w:rsidR="00971D12" w:rsidRPr="0063332A" w:rsidRDefault="00971D12" w:rsidP="00877507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71D12" w:rsidRPr="0063332A" w:rsidRDefault="00971D12" w:rsidP="00877507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9698A" w:rsidRPr="0063332A" w:rsidRDefault="00D827F5" w:rsidP="00877507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>QUYẾT ĐỊNH</w:t>
      </w:r>
    </w:p>
    <w:p w:rsidR="0039698A" w:rsidRPr="0063332A" w:rsidRDefault="00971D12" w:rsidP="00877507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ề</w:t>
      </w:r>
      <w:r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 việc công b</w:t>
      </w: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 thủ tục hành chính m</w:t>
      </w: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ớ</w:t>
      </w:r>
      <w:r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i ban hành lĩnh </w:t>
      </w: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vực</w:t>
      </w:r>
      <w:r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 qu</w:t>
      </w: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b/>
          <w:bCs/>
          <w:color w:val="auto"/>
          <w:sz w:val="20"/>
          <w:szCs w:val="20"/>
        </w:rPr>
        <w:t>n lý công sản</w:t>
      </w:r>
      <w:r w:rsidRPr="0063332A">
        <w:rPr>
          <w:rFonts w:ascii="Arial" w:hAnsi="Arial" w:cs="Arial"/>
          <w:b/>
          <w:bCs/>
          <w:color w:val="auto"/>
          <w:sz w:val="20"/>
          <w:szCs w:val="20"/>
        </w:rPr>
        <w:br/>
        <w:t>thuộc phạm vi ch</w:t>
      </w: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ứ</w:t>
      </w:r>
      <w:r w:rsidRPr="0063332A">
        <w:rPr>
          <w:rFonts w:ascii="Arial" w:hAnsi="Arial" w:cs="Arial"/>
          <w:b/>
          <w:bCs/>
          <w:color w:val="auto"/>
          <w:sz w:val="20"/>
          <w:szCs w:val="20"/>
        </w:rPr>
        <w:t>c n</w:t>
      </w: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ă</w:t>
      </w:r>
      <w:r w:rsidRPr="0063332A">
        <w:rPr>
          <w:rFonts w:ascii="Arial" w:hAnsi="Arial" w:cs="Arial"/>
          <w:b/>
          <w:bCs/>
          <w:color w:val="auto"/>
          <w:sz w:val="20"/>
          <w:szCs w:val="20"/>
        </w:rPr>
        <w:t>ng qu</w:t>
      </w: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>n lý của Bộ Tài chính</w:t>
      </w:r>
    </w:p>
    <w:p w:rsidR="00971D12" w:rsidRPr="0063332A" w:rsidRDefault="00971D12" w:rsidP="00877507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vertAlign w:val="superscript"/>
          <w:lang w:val="en-SG"/>
        </w:rPr>
      </w:pPr>
      <w:r w:rsidRPr="0063332A">
        <w:rPr>
          <w:rFonts w:ascii="Arial" w:hAnsi="Arial" w:cs="Arial"/>
          <w:bCs/>
          <w:color w:val="auto"/>
          <w:sz w:val="20"/>
          <w:szCs w:val="20"/>
          <w:vertAlign w:val="superscript"/>
          <w:lang w:val="en-SG"/>
        </w:rPr>
        <w:t>_____________________</w:t>
      </w:r>
    </w:p>
    <w:p w:rsidR="0039698A" w:rsidRPr="0063332A" w:rsidRDefault="00971D12" w:rsidP="00877507">
      <w:pPr>
        <w:pStyle w:val="Heading10"/>
        <w:keepNext/>
        <w:keepLines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bookmarkStart w:id="0" w:name="bookmark0"/>
      <w:bookmarkStart w:id="1" w:name="bookmark1"/>
      <w:bookmarkStart w:id="2" w:name="bookmark2"/>
      <w:r w:rsidRPr="0063332A">
        <w:rPr>
          <w:rFonts w:ascii="Arial" w:hAnsi="Arial" w:cs="Arial"/>
          <w:color w:val="auto"/>
          <w:sz w:val="20"/>
          <w:szCs w:val="20"/>
        </w:rPr>
        <w:t>BỘ TR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ƯỞ</w:t>
      </w:r>
      <w:r w:rsidRPr="0063332A">
        <w:rPr>
          <w:rFonts w:ascii="Arial" w:hAnsi="Arial" w:cs="Arial"/>
          <w:color w:val="auto"/>
          <w:sz w:val="20"/>
          <w:szCs w:val="20"/>
        </w:rPr>
        <w:t>NG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Ộ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TÀI CHÍNH</w:t>
      </w:r>
      <w:bookmarkEnd w:id="0"/>
      <w:bookmarkEnd w:id="1"/>
      <w:bookmarkEnd w:id="2"/>
    </w:p>
    <w:p w:rsidR="00971D12" w:rsidRPr="0063332A" w:rsidRDefault="00971D12" w:rsidP="00877507">
      <w:pPr>
        <w:pStyle w:val="Heading10"/>
        <w:keepNext/>
        <w:keepLines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39698A" w:rsidRPr="0063332A" w:rsidRDefault="00971D12" w:rsidP="0087750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ăn cứ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s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14/2023/NĐ-CP ngày 20/4/2023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của Ch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í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nh ph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ủ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quy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định chức n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ng, nhiệm vụ,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quyền hạn và cơ c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ấ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u 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tổ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của Bộ 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T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>ài chính;</w:t>
      </w:r>
    </w:p>
    <w:p w:rsidR="0039698A" w:rsidRPr="0063332A" w:rsidRDefault="00D827F5" w:rsidP="0087750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Căn cứ Nghị định số 63/</w:t>
      </w:r>
      <w:r w:rsidR="00804E22" w:rsidRPr="0063332A">
        <w:rPr>
          <w:rFonts w:ascii="Arial" w:hAnsi="Arial" w:cs="Arial"/>
          <w:i/>
          <w:iCs/>
          <w:color w:val="auto"/>
          <w:sz w:val="20"/>
          <w:szCs w:val="20"/>
        </w:rPr>
        <w:t>20</w:t>
      </w:r>
      <w:r w:rsidR="00804E22"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0/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NĐ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-CP ngày 08 tháng 6 năm 2010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về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soát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thủ tục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hành chính; Nghị định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số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48/2013/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NĐ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-CP ngày 14 tháng 5 năm 2013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về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sửa đổi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bổ sung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một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số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Điều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các nghị định liên quan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đến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soát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thủ tục hành chính; Nghị định s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92/20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7/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NĐ-CP ngày 07 tháng 8 năm 20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7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sửa đổi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bổ sung một s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Điều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các Nghị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định liên quan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đế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n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soát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thủ tục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hành chính;</w:t>
      </w:r>
    </w:p>
    <w:p w:rsidR="0039698A" w:rsidRPr="0063332A" w:rsidRDefault="00971D12" w:rsidP="0087750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n cứ Nghị định s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02/2024/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NĐ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-CP ngày 10 tháng 01 năm 2024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về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việc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công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trình điện 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l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à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tài sản công </w:t>
      </w:r>
      <w:r w:rsidR="00877507" w:rsidRPr="0063332A">
        <w:rPr>
          <w:rFonts w:ascii="Arial" w:hAnsi="Arial" w:cs="Arial"/>
          <w:i/>
          <w:iCs/>
          <w:color w:val="auto"/>
          <w:sz w:val="20"/>
          <w:szCs w:val="20"/>
        </w:rPr>
        <w:t>sang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t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ập 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oàn điện 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l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>ực Việt Nam;</w:t>
      </w:r>
    </w:p>
    <w:p w:rsidR="0039698A" w:rsidRPr="0063332A" w:rsidRDefault="00971D12" w:rsidP="0087750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>n c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ứ Thông tư s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02/20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>7/TT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-VPCP ngày 31 tháng 10 năm 20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17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Văn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phòng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Chính phủ hướng d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ẫ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n nghiệp vụ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kiểm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soát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thủ tục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hành chính;</w:t>
      </w:r>
    </w:p>
    <w:p w:rsidR="0039698A" w:rsidRPr="0063332A" w:rsidRDefault="00D827F5" w:rsidP="00877507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Theo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đề nghị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của Cục trư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ng Cục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Quản lý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công sản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.</w:t>
      </w:r>
    </w:p>
    <w:p w:rsidR="00971D12" w:rsidRPr="0063332A" w:rsidRDefault="00971D12" w:rsidP="00877507">
      <w:pPr>
        <w:pStyle w:val="Heading10"/>
        <w:keepNext/>
        <w:keepLines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bookmarkStart w:id="3" w:name="bookmark3"/>
      <w:bookmarkStart w:id="4" w:name="bookmark4"/>
      <w:bookmarkStart w:id="5" w:name="bookmark5"/>
    </w:p>
    <w:p w:rsidR="0039698A" w:rsidRPr="0063332A" w:rsidRDefault="00D827F5" w:rsidP="00877507">
      <w:pPr>
        <w:pStyle w:val="Heading10"/>
        <w:keepNext/>
        <w:keepLines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QUYẾT ĐỊNH:</w:t>
      </w:r>
      <w:bookmarkEnd w:id="3"/>
      <w:bookmarkEnd w:id="4"/>
      <w:bookmarkEnd w:id="5"/>
    </w:p>
    <w:p w:rsidR="00971D12" w:rsidRPr="0063332A" w:rsidRDefault="00971D12" w:rsidP="00877507">
      <w:pPr>
        <w:pStyle w:val="Heading10"/>
        <w:keepNext/>
        <w:keepLines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39698A" w:rsidRPr="0063332A" w:rsidRDefault="00971D12" w:rsidP="0087750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 1.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Công bố kèm theo Quyết </w:t>
      </w:r>
      <w:r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này 02 </w:t>
      </w:r>
      <w:r w:rsidRPr="0063332A">
        <w:rPr>
          <w:rFonts w:ascii="Arial" w:hAnsi="Arial" w:cs="Arial"/>
          <w:color w:val="auto"/>
          <w:sz w:val="20"/>
          <w:szCs w:val="20"/>
        </w:rPr>
        <w:t>thủ tục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hành chính </w:t>
      </w:r>
      <w:r w:rsidRPr="0063332A">
        <w:rPr>
          <w:rFonts w:ascii="Arial" w:hAnsi="Arial" w:cs="Arial"/>
          <w:color w:val="auto"/>
          <w:sz w:val="20"/>
          <w:szCs w:val="20"/>
        </w:rPr>
        <w:t>mới ban hành l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ĩ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nh vực </w:t>
      </w:r>
      <w:r w:rsidRPr="0063332A">
        <w:rPr>
          <w:rFonts w:ascii="Arial" w:hAnsi="Arial" w:cs="Arial"/>
          <w:color w:val="auto"/>
          <w:sz w:val="20"/>
          <w:szCs w:val="20"/>
        </w:rPr>
        <w:t>quản lý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công sản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thuộc phạm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vi chức năng quản lý của Bộ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Tà</w:t>
      </w:r>
      <w:r w:rsidR="00D827F5" w:rsidRPr="0063332A">
        <w:rPr>
          <w:rFonts w:ascii="Arial" w:hAnsi="Arial" w:cs="Arial"/>
          <w:color w:val="auto"/>
          <w:sz w:val="20"/>
          <w:szCs w:val="20"/>
        </w:rPr>
        <w:t>i chính.</w:t>
      </w:r>
    </w:p>
    <w:p w:rsidR="0039698A" w:rsidRPr="0063332A" w:rsidRDefault="00971D12" w:rsidP="0087750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 2. </w:t>
      </w:r>
      <w:r w:rsidRPr="0063332A">
        <w:rPr>
          <w:rFonts w:ascii="Arial" w:hAnsi="Arial" w:cs="Arial"/>
          <w:color w:val="auto"/>
          <w:sz w:val="20"/>
          <w:szCs w:val="20"/>
        </w:rPr>
        <w:t>Quyết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định này có hiệu lực thi hành k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ừ ngày 01/03/2024. Cục </w:t>
      </w:r>
      <w:r w:rsidRPr="0063332A">
        <w:rPr>
          <w:rFonts w:ascii="Arial" w:hAnsi="Arial" w:cs="Arial"/>
          <w:color w:val="auto"/>
          <w:sz w:val="20"/>
          <w:szCs w:val="20"/>
        </w:rPr>
        <w:t>Quản lý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công sản thực hiện việc nhập và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ăng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tả</w:t>
      </w:r>
      <w:r w:rsidRPr="0063332A">
        <w:rPr>
          <w:rFonts w:ascii="Arial" w:hAnsi="Arial" w:cs="Arial"/>
          <w:color w:val="auto"/>
          <w:sz w:val="20"/>
          <w:szCs w:val="20"/>
        </w:rPr>
        <w:t>i d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ữ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liệu th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ủ t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ục hành chính theo quy </w:t>
      </w:r>
      <w:r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>.</w:t>
      </w:r>
    </w:p>
    <w:p w:rsidR="0039698A" w:rsidRPr="0063332A" w:rsidRDefault="00971D12" w:rsidP="00877507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 3.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Cục trưởng Cục </w:t>
      </w:r>
      <w:r w:rsidRPr="0063332A">
        <w:rPr>
          <w:rFonts w:ascii="Arial" w:hAnsi="Arial" w:cs="Arial"/>
          <w:color w:val="auto"/>
          <w:sz w:val="20"/>
          <w:szCs w:val="20"/>
        </w:rPr>
        <w:t>Quản lý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công sản, Chánh Văn phòng Bộ, Vụ trư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>ng Vụ Pháp ch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và Th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trư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các </w:t>
      </w:r>
      <w:r w:rsidRPr="0063332A">
        <w:rPr>
          <w:rFonts w:ascii="Arial" w:hAnsi="Arial" w:cs="Arial"/>
          <w:color w:val="auto"/>
          <w:sz w:val="20"/>
          <w:szCs w:val="20"/>
        </w:rPr>
        <w:t>đơn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vị có liên quan chịu trách </w:t>
      </w:r>
      <w:r w:rsidRPr="0063332A">
        <w:rPr>
          <w:rFonts w:ascii="Arial" w:hAnsi="Arial" w:cs="Arial"/>
          <w:color w:val="auto"/>
          <w:sz w:val="20"/>
          <w:szCs w:val="20"/>
        </w:rPr>
        <w:t>nhiệm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thi hành Quyết định </w:t>
      </w:r>
      <w:r w:rsidRPr="0063332A">
        <w:rPr>
          <w:rFonts w:ascii="Arial" w:hAnsi="Arial" w:cs="Arial"/>
          <w:color w:val="auto"/>
          <w:sz w:val="20"/>
          <w:szCs w:val="20"/>
        </w:rPr>
        <w:t>này./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.</w:t>
      </w:r>
    </w:p>
    <w:p w:rsidR="00971D12" w:rsidRPr="0063332A" w:rsidRDefault="00971D12" w:rsidP="00877507">
      <w:pPr>
        <w:pStyle w:val="BodyText"/>
        <w:spacing w:after="0" w:line="240" w:lineRule="auto"/>
        <w:ind w:firstLine="0"/>
        <w:rPr>
          <w:rFonts w:ascii="Arial" w:hAnsi="Arial" w:cs="Arial"/>
          <w:color w:val="auto"/>
          <w:sz w:val="20"/>
          <w:szCs w:val="20"/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20"/>
      </w:tblGrid>
      <w:tr w:rsidR="0063332A" w:rsidRPr="0063332A" w:rsidTr="00877507">
        <w:tc>
          <w:tcPr>
            <w:tcW w:w="4675" w:type="dxa"/>
          </w:tcPr>
          <w:p w:rsidR="00877507" w:rsidRPr="0063332A" w:rsidRDefault="00877507" w:rsidP="00877507">
            <w:pPr>
              <w:pStyle w:val="Bodytext30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noProof/>
                <w:color w:val="auto"/>
                <w:sz w:val="20"/>
                <w:szCs w:val="20"/>
                <w:lang w:val="en-SG" w:eastAsia="en-SG" w:bidi="ar-SA"/>
              </w:rPr>
              <w:t xml:space="preserve">Nơi 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nhận: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6" w:name="bookmark6"/>
            <w:bookmarkEnd w:id="6"/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Như Điều 3;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7" w:name="bookmark7"/>
            <w:bookmarkEnd w:id="7"/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V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ă</w:t>
            </w:r>
            <w:r w:rsidRPr="0063332A">
              <w:rPr>
                <w:rFonts w:ascii="Arial" w:hAnsi="Arial" w:cs="Arial"/>
                <w:color w:val="auto"/>
              </w:rPr>
              <w:t xml:space="preserve">n phòng Chính phủ (Cục Kiểm soát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TTH</w:t>
            </w:r>
            <w:r w:rsidRPr="0063332A">
              <w:rPr>
                <w:rFonts w:ascii="Arial" w:hAnsi="Arial" w:cs="Arial"/>
                <w:color w:val="auto"/>
              </w:rPr>
              <w:t>C);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8" w:name="bookmark8"/>
            <w:bookmarkEnd w:id="8"/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Các Bộ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,</w:t>
            </w:r>
            <w:r w:rsidRPr="0063332A">
              <w:rPr>
                <w:rFonts w:ascii="Arial" w:hAnsi="Arial" w:cs="Arial"/>
                <w:color w:val="auto"/>
              </w:rPr>
              <w:t xml:space="preserve"> cơ quan ngang Bộ,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cơ</w:t>
            </w:r>
            <w:r w:rsidRPr="0063332A">
              <w:rPr>
                <w:rFonts w:ascii="Arial" w:hAnsi="Arial" w:cs="Arial"/>
                <w:color w:val="auto"/>
              </w:rPr>
              <w:t xml:space="preserve"> quan thuộc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 xml:space="preserve"> </w:t>
            </w:r>
            <w:r w:rsidRPr="0063332A">
              <w:rPr>
                <w:rFonts w:ascii="Arial" w:hAnsi="Arial" w:cs="Arial"/>
                <w:color w:val="auto"/>
              </w:rPr>
              <w:t>Ch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í</w:t>
            </w:r>
            <w:r w:rsidRPr="0063332A">
              <w:rPr>
                <w:rFonts w:ascii="Arial" w:hAnsi="Arial" w:cs="Arial"/>
                <w:color w:val="auto"/>
              </w:rPr>
              <w:t>nh ph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ủ</w:t>
            </w:r>
            <w:r w:rsidRPr="0063332A">
              <w:rPr>
                <w:rFonts w:ascii="Arial" w:hAnsi="Arial" w:cs="Arial"/>
                <w:color w:val="auto"/>
              </w:rPr>
              <w:t xml:space="preserve">, cơ quan khác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ở</w:t>
            </w:r>
            <w:r w:rsidRPr="0063332A">
              <w:rPr>
                <w:rFonts w:ascii="Arial" w:hAnsi="Arial" w:cs="Arial"/>
                <w:color w:val="auto"/>
              </w:rPr>
              <w:t xml:space="preserve">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T</w:t>
            </w:r>
            <w:r w:rsidRPr="0063332A">
              <w:rPr>
                <w:rFonts w:ascii="Arial" w:hAnsi="Arial" w:cs="Arial"/>
                <w:color w:val="auto"/>
              </w:rPr>
              <w:t>W;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9" w:name="bookmark9"/>
            <w:bookmarkEnd w:id="9"/>
            <w:r w:rsidRPr="0063332A">
              <w:rPr>
                <w:rFonts w:ascii="Arial" w:hAnsi="Arial" w:cs="Arial"/>
                <w:color w:val="auto"/>
                <w:lang w:val="en-SG"/>
              </w:rPr>
              <w:t>- UB</w:t>
            </w:r>
            <w:r w:rsidRPr="0063332A">
              <w:rPr>
                <w:rFonts w:ascii="Arial" w:hAnsi="Arial" w:cs="Arial"/>
                <w:color w:val="auto"/>
              </w:rPr>
              <w:t>N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D</w:t>
            </w:r>
            <w:r w:rsidRPr="0063332A">
              <w:rPr>
                <w:rFonts w:ascii="Arial" w:hAnsi="Arial" w:cs="Arial"/>
                <w:color w:val="auto"/>
              </w:rPr>
              <w:t xml:space="preserve"> các t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ỉ</w:t>
            </w:r>
            <w:r w:rsidRPr="0063332A">
              <w:rPr>
                <w:rFonts w:ascii="Arial" w:hAnsi="Arial" w:cs="Arial"/>
                <w:color w:val="auto"/>
              </w:rPr>
              <w:t xml:space="preserve">nh, TP trực thuộc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T</w:t>
            </w:r>
            <w:r w:rsidRPr="0063332A">
              <w:rPr>
                <w:rFonts w:ascii="Arial" w:hAnsi="Arial" w:cs="Arial"/>
                <w:color w:val="auto"/>
              </w:rPr>
              <w:t>W: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10" w:name="bookmark10"/>
            <w:bookmarkEnd w:id="10"/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S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ở</w:t>
            </w:r>
            <w:r w:rsidRPr="0063332A">
              <w:rPr>
                <w:rFonts w:ascii="Arial" w:hAnsi="Arial" w:cs="Arial"/>
                <w:color w:val="auto"/>
              </w:rPr>
              <w:t xml:space="preserve">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T</w:t>
            </w:r>
            <w:r w:rsidRPr="0063332A">
              <w:rPr>
                <w:rFonts w:ascii="Arial" w:hAnsi="Arial" w:cs="Arial"/>
                <w:color w:val="auto"/>
              </w:rPr>
              <w:t>ài ch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í</w:t>
            </w:r>
            <w:r w:rsidRPr="0063332A">
              <w:rPr>
                <w:rFonts w:ascii="Arial" w:hAnsi="Arial" w:cs="Arial"/>
                <w:color w:val="auto"/>
              </w:rPr>
              <w:t>nh các t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ỉ</w:t>
            </w:r>
            <w:r w:rsidRPr="0063332A">
              <w:rPr>
                <w:rFonts w:ascii="Arial" w:hAnsi="Arial" w:cs="Arial"/>
                <w:color w:val="auto"/>
              </w:rPr>
              <w:t>nh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,</w:t>
            </w:r>
            <w:r w:rsidRPr="0063332A">
              <w:rPr>
                <w:rFonts w:ascii="Arial" w:hAnsi="Arial" w:cs="Arial"/>
                <w:color w:val="auto"/>
              </w:rPr>
              <w:t xml:space="preserve"> TP trực thuộc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T</w:t>
            </w:r>
            <w:r w:rsidRPr="0063332A">
              <w:rPr>
                <w:rFonts w:ascii="Arial" w:hAnsi="Arial" w:cs="Arial"/>
                <w:color w:val="auto"/>
              </w:rPr>
              <w:t>W;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11" w:name="bookmark11"/>
            <w:bookmarkEnd w:id="11"/>
            <w:r w:rsidRPr="0063332A">
              <w:rPr>
                <w:rFonts w:ascii="Arial" w:hAnsi="Arial" w:cs="Arial"/>
                <w:color w:val="auto"/>
                <w:lang w:val="en-SG"/>
              </w:rPr>
              <w:t>- T</w:t>
            </w:r>
            <w:r w:rsidRPr="0063332A">
              <w:rPr>
                <w:rFonts w:ascii="Arial" w:hAnsi="Arial" w:cs="Arial"/>
                <w:color w:val="auto"/>
              </w:rPr>
              <w:t xml:space="preserve">ập đoàn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Điệ</w:t>
            </w:r>
            <w:r w:rsidRPr="0063332A">
              <w:rPr>
                <w:rFonts w:ascii="Arial" w:hAnsi="Arial" w:cs="Arial"/>
                <w:color w:val="auto"/>
              </w:rPr>
              <w:t>n lực Việt Nam;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12" w:name="bookmark12"/>
            <w:bookmarkEnd w:id="12"/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C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ổ</w:t>
            </w:r>
            <w:r w:rsidRPr="0063332A">
              <w:rPr>
                <w:rFonts w:ascii="Arial" w:hAnsi="Arial" w:cs="Arial"/>
                <w:color w:val="auto"/>
              </w:rPr>
              <w:t>ng dịch vụ công qu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ố</w:t>
            </w:r>
            <w:r w:rsidRPr="0063332A">
              <w:rPr>
                <w:rFonts w:ascii="Arial" w:hAnsi="Arial" w:cs="Arial"/>
                <w:color w:val="auto"/>
              </w:rPr>
              <w:t>c gia: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13" w:name="bookmark13"/>
            <w:bookmarkEnd w:id="13"/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C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ổ</w:t>
            </w:r>
            <w:r w:rsidRPr="0063332A">
              <w:rPr>
                <w:rFonts w:ascii="Arial" w:hAnsi="Arial" w:cs="Arial"/>
                <w:color w:val="auto"/>
              </w:rPr>
              <w:t xml:space="preserve">ng 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TTĐT</w:t>
            </w:r>
            <w:r w:rsidRPr="0063332A">
              <w:rPr>
                <w:rFonts w:ascii="Arial" w:hAnsi="Arial" w:cs="Arial"/>
                <w:color w:val="auto"/>
              </w:rPr>
              <w:t xml:space="preserve"> Bộ Tài chính;</w:t>
            </w:r>
          </w:p>
          <w:p w:rsidR="00877507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</w:rPr>
            </w:pPr>
            <w:bookmarkStart w:id="14" w:name="bookmark14"/>
            <w:bookmarkEnd w:id="14"/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Vụ Pháp ch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ế</w:t>
            </w:r>
            <w:r w:rsidRPr="0063332A">
              <w:rPr>
                <w:rFonts w:ascii="Arial" w:hAnsi="Arial" w:cs="Arial"/>
                <w:color w:val="auto"/>
              </w:rPr>
              <w:t>;</w:t>
            </w:r>
          </w:p>
          <w:p w:rsidR="00877507" w:rsidRPr="0063332A" w:rsidRDefault="00877507" w:rsidP="00877507">
            <w:pPr>
              <w:pStyle w:val="Bodytext20"/>
              <w:rPr>
                <w:rFonts w:ascii="Arial" w:hAnsi="Arial" w:cs="Arial"/>
                <w:color w:val="auto"/>
              </w:rPr>
            </w:pPr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Văn ph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ò</w:t>
            </w:r>
            <w:r w:rsidRPr="0063332A">
              <w:rPr>
                <w:rFonts w:ascii="Arial" w:hAnsi="Arial" w:cs="Arial"/>
                <w:color w:val="auto"/>
              </w:rPr>
              <w:t>ng Bộ;</w:t>
            </w:r>
          </w:p>
          <w:p w:rsidR="00971D12" w:rsidRPr="0063332A" w:rsidRDefault="00877507" w:rsidP="00877507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auto"/>
                <w:lang w:val="en-SG"/>
              </w:rPr>
            </w:pPr>
            <w:bookmarkStart w:id="15" w:name="bookmark15"/>
            <w:bookmarkEnd w:id="15"/>
            <w:r w:rsidRPr="0063332A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63332A">
              <w:rPr>
                <w:rFonts w:ascii="Arial" w:hAnsi="Arial" w:cs="Arial"/>
                <w:color w:val="auto"/>
              </w:rPr>
              <w:t>L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ư</w:t>
            </w:r>
            <w:r w:rsidRPr="0063332A">
              <w:rPr>
                <w:rFonts w:ascii="Arial" w:hAnsi="Arial" w:cs="Arial"/>
                <w:color w:val="auto"/>
              </w:rPr>
              <w:t>u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:</w:t>
            </w:r>
            <w:r w:rsidRPr="0063332A">
              <w:rPr>
                <w:rFonts w:ascii="Arial" w:hAnsi="Arial" w:cs="Arial"/>
                <w:color w:val="auto"/>
              </w:rPr>
              <w:t xml:space="preserve"> VT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 xml:space="preserve">, </w:t>
            </w:r>
            <w:r w:rsidRPr="0063332A">
              <w:rPr>
                <w:rFonts w:ascii="Arial" w:hAnsi="Arial" w:cs="Arial"/>
                <w:color w:val="auto"/>
              </w:rPr>
              <w:t>QLCS</w:t>
            </w:r>
            <w:r w:rsidRPr="0063332A">
              <w:rPr>
                <w:rFonts w:ascii="Arial" w:hAnsi="Arial" w:cs="Arial"/>
                <w:color w:val="auto"/>
                <w:lang w:val="en-SG"/>
              </w:rPr>
              <w:t>.</w:t>
            </w:r>
          </w:p>
        </w:tc>
        <w:tc>
          <w:tcPr>
            <w:tcW w:w="4675" w:type="dxa"/>
          </w:tcPr>
          <w:p w:rsidR="00971D12" w:rsidRPr="0063332A" w:rsidRDefault="00971D12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r w:rsidRPr="0063332A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KT. BỘ TRƯỞNG</w:t>
            </w:r>
          </w:p>
          <w:p w:rsidR="00971D12" w:rsidRPr="0063332A" w:rsidRDefault="00971D12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r w:rsidRPr="0063332A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THỨ TRƯỞNG</w:t>
            </w:r>
          </w:p>
          <w:p w:rsidR="00877507" w:rsidRPr="0063332A" w:rsidRDefault="00877507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877507" w:rsidRPr="0063332A" w:rsidRDefault="00877507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877507" w:rsidRPr="0063332A" w:rsidRDefault="00877507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877507" w:rsidRPr="0063332A" w:rsidRDefault="00877507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971D12" w:rsidRPr="0063332A" w:rsidRDefault="00877507" w:rsidP="0087750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r w:rsidRPr="0063332A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Bùi Văn Khắng</w:t>
            </w:r>
          </w:p>
        </w:tc>
      </w:tr>
    </w:tbl>
    <w:p w:rsidR="00877507" w:rsidRPr="0063332A" w:rsidRDefault="00D827F5" w:rsidP="00877507">
      <w:pPr>
        <w:pStyle w:val="Tablecaption0"/>
        <w:tabs>
          <w:tab w:val="left" w:pos="1069"/>
          <w:tab w:val="left" w:pos="422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  <w:sectPr w:rsidR="00877507" w:rsidRPr="0063332A" w:rsidSect="00362738">
          <w:pgSz w:w="11900" w:h="16840" w:code="9"/>
          <w:pgMar w:top="1440" w:right="1440" w:bottom="1440" w:left="1440" w:header="0" w:footer="0" w:gutter="0"/>
          <w:pgNumType w:start="1"/>
          <w:cols w:space="720"/>
          <w:noEndnote/>
          <w:docGrid w:linePitch="360"/>
        </w:sectPr>
      </w:pPr>
      <w:r w:rsidRPr="0063332A">
        <w:rPr>
          <w:rFonts w:ascii="Arial" w:hAnsi="Arial" w:cs="Arial"/>
          <w:color w:val="auto"/>
          <w:sz w:val="20"/>
          <w:szCs w:val="20"/>
        </w:rPr>
        <w:tab/>
      </w:r>
      <w:bookmarkStart w:id="16" w:name="_GoBack"/>
      <w:bookmarkEnd w:id="16"/>
    </w:p>
    <w:p w:rsidR="0039698A" w:rsidRPr="0063332A" w:rsidRDefault="00D827F5" w:rsidP="00002B38">
      <w:pPr>
        <w:pStyle w:val="Tablecaption0"/>
        <w:tabs>
          <w:tab w:val="left" w:pos="1069"/>
          <w:tab w:val="left" w:pos="4223"/>
        </w:tabs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lastRenderedPageBreak/>
        <w:t>Phụ lục</w:t>
      </w:r>
    </w:p>
    <w:p w:rsidR="00D827F5" w:rsidRPr="0063332A" w:rsidRDefault="00D827F5" w:rsidP="00002B38">
      <w:pPr>
        <w:pStyle w:val="Tablecaption0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THỦ TỤC </w:t>
      </w:r>
      <w:r w:rsidRPr="0063332A">
        <w:rPr>
          <w:rFonts w:ascii="Arial" w:hAnsi="Arial" w:cs="Arial"/>
          <w:color w:val="auto"/>
          <w:sz w:val="20"/>
          <w:szCs w:val="20"/>
        </w:rPr>
        <w:t>HÀNH CHÍNH MỚI BAN HÀNH TRONG L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Ĩ</w:t>
      </w:r>
      <w:r w:rsidRPr="0063332A">
        <w:rPr>
          <w:rFonts w:ascii="Arial" w:hAnsi="Arial" w:cs="Arial"/>
          <w:color w:val="auto"/>
          <w:sz w:val="20"/>
          <w:szCs w:val="20"/>
        </w:rPr>
        <w:t>NH VỰC</w:t>
      </w:r>
    </w:p>
    <w:p w:rsidR="0039698A" w:rsidRPr="0063332A" w:rsidRDefault="00D827F5" w:rsidP="00002B38">
      <w:pPr>
        <w:pStyle w:val="Tablecaption0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QUẢN LÝ CÔNG SẢN </w:t>
      </w:r>
      <w:r w:rsidRPr="0063332A">
        <w:rPr>
          <w:rFonts w:ascii="Arial" w:hAnsi="Arial" w:cs="Arial"/>
          <w:color w:val="auto"/>
          <w:sz w:val="20"/>
          <w:szCs w:val="20"/>
        </w:rPr>
        <w:t>THUỘC PHẠM VI CHỨC N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Ă</w:t>
      </w:r>
      <w:r w:rsidRPr="0063332A">
        <w:rPr>
          <w:rFonts w:ascii="Arial" w:hAnsi="Arial" w:cs="Arial"/>
          <w:color w:val="auto"/>
          <w:sz w:val="20"/>
          <w:szCs w:val="20"/>
        </w:rPr>
        <w:t>NG QUẢN LÝ NHÀ NƯỚC</w:t>
      </w:r>
    </w:p>
    <w:p w:rsidR="0039698A" w:rsidRPr="0063332A" w:rsidRDefault="00D827F5" w:rsidP="00002B38">
      <w:pPr>
        <w:pStyle w:val="Tablecaption0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Pr="0063332A">
        <w:rPr>
          <w:rFonts w:ascii="Arial" w:hAnsi="Arial" w:cs="Arial"/>
          <w:color w:val="auto"/>
          <w:sz w:val="20"/>
          <w:szCs w:val="20"/>
        </w:rPr>
        <w:t>A BỘ TÀI CHÍNH</w:t>
      </w:r>
    </w:p>
    <w:p w:rsidR="0039698A" w:rsidRPr="0063332A" w:rsidRDefault="00D827F5" w:rsidP="00002B38">
      <w:pPr>
        <w:pStyle w:val="Tablecaption0"/>
        <w:spacing w:line="240" w:lineRule="auto"/>
        <w:jc w:val="center"/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</w:pP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>(Kèm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  <w:lang w:val="en-SG"/>
        </w:rPr>
        <w:t xml:space="preserve"> theo Quyế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 xml:space="preserve">t định 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  <w:lang w:val="en-SG"/>
        </w:rPr>
        <w:t>số 337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>/Q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  <w:lang w:val="en-SG"/>
        </w:rPr>
        <w:t>Đ-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 xml:space="preserve">BTC ngày 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  <w:lang w:val="en-SG"/>
        </w:rPr>
        <w:t>27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 xml:space="preserve"> th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  <w:lang w:val="en-SG"/>
        </w:rPr>
        <w:t>á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 xml:space="preserve">ng 02 năm 2024 </w:t>
      </w:r>
      <w:r w:rsidR="00971D12"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b w:val="0"/>
          <w:bCs w:val="0"/>
          <w:i/>
          <w:iCs/>
          <w:color w:val="auto"/>
          <w:sz w:val="20"/>
          <w:szCs w:val="20"/>
        </w:rPr>
        <w:t xml:space="preserve"> Bộ Tài chính)</w:t>
      </w:r>
    </w:p>
    <w:p w:rsidR="00D827F5" w:rsidRPr="0063332A" w:rsidRDefault="00D827F5" w:rsidP="00002B38">
      <w:pPr>
        <w:pStyle w:val="Tablecaption0"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39698A" w:rsidRPr="0063332A" w:rsidRDefault="00D827F5" w:rsidP="00877507">
      <w:pPr>
        <w:pStyle w:val="Tablecaption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PH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63332A">
        <w:rPr>
          <w:rFonts w:ascii="Arial" w:hAnsi="Arial" w:cs="Arial"/>
          <w:color w:val="auto"/>
          <w:sz w:val="20"/>
          <w:szCs w:val="20"/>
        </w:rPr>
        <w:t>N I. DANH MỤC THỦ TỤC HÀNH CHÍNH MỚI BAN HÀNH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4290"/>
        <w:gridCol w:w="1430"/>
        <w:gridCol w:w="2623"/>
      </w:tblGrid>
      <w:tr w:rsidR="0063332A" w:rsidRPr="0063332A" w:rsidTr="00002B38">
        <w:trPr>
          <w:trHeight w:val="20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STT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Tên thủ tục hành chính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Lĩnh v</w:t>
            </w: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ự</w:t>
            </w: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</w:t>
            </w: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ơ</w:t>
            </w:r>
            <w:r w:rsidRPr="006333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quan thực hiện</w:t>
            </w:r>
          </w:p>
        </w:tc>
      </w:tr>
      <w:tr w:rsidR="0063332A" w:rsidRPr="0063332A" w:rsidTr="00002B38">
        <w:trPr>
          <w:trHeight w:val="20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971D12" w:rsidP="00002B38">
            <w:pPr>
              <w:pStyle w:val="Other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Chuyển giao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công 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trình điện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là hạ tầng kỹ thuật sử dụng chung trong các dự án khu 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đ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</w:rPr>
              <w:t>ô thị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,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khu dân cư và dự án khác do chủ 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đ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ầu 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t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</w:rPr>
              <w:t>ư ph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ả</w:t>
            </w:r>
            <w:r w:rsidR="00D827F5" w:rsidRPr="0063332A">
              <w:rPr>
                <w:rFonts w:ascii="Arial" w:hAnsi="Arial" w:cs="Arial"/>
                <w:color w:val="auto"/>
                <w:sz w:val="20"/>
                <w:szCs w:val="20"/>
              </w:rPr>
              <w:t>i bàn giao lại cho Nhà nước theo quy định của pháp luật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Quản lý công s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ả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ủ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đầu tư dự án khu </w:t>
            </w:r>
            <w:r w:rsidR="00CF0EBA" w:rsidRPr="0063332A">
              <w:rPr>
                <w:rFonts w:ascii="Arial" w:hAnsi="Arial" w:cs="Arial"/>
                <w:color w:val="auto"/>
                <w:sz w:val="20"/>
                <w:szCs w:val="20"/>
              </w:rPr>
              <w:t>đô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thị, khu dân cư và dự án khác</w:t>
            </w:r>
          </w:p>
        </w:tc>
      </w:tr>
      <w:tr w:rsidR="0063332A" w:rsidRPr="0063332A" w:rsidTr="00002B38">
        <w:trPr>
          <w:trHeight w:val="20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Xác lập quyền sở hữu toàn dân và </w:t>
            </w:r>
            <w:r w:rsidR="00971D12" w:rsidRPr="0063332A">
              <w:rPr>
                <w:rFonts w:ascii="Arial" w:hAnsi="Arial" w:cs="Arial"/>
                <w:color w:val="auto"/>
                <w:sz w:val="20"/>
                <w:szCs w:val="20"/>
              </w:rPr>
              <w:t>chuyển giao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c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ô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ng </w:t>
            </w:r>
            <w:r w:rsidR="00971D12" w:rsidRPr="0063332A">
              <w:rPr>
                <w:rFonts w:ascii="Arial" w:hAnsi="Arial" w:cs="Arial"/>
                <w:color w:val="auto"/>
                <w:sz w:val="20"/>
                <w:szCs w:val="20"/>
              </w:rPr>
              <w:t>trình điện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có nguồn gốc ngoài ngân sách nhà nước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Quản lý công sản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98A" w:rsidRPr="0063332A" w:rsidRDefault="00D827F5" w:rsidP="00002B38">
            <w:pPr>
              <w:pStyle w:val="Other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ổ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chức, cá nhân là ch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ủ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 sở h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ữ</w:t>
            </w:r>
            <w:r w:rsidRPr="0063332A">
              <w:rPr>
                <w:rFonts w:ascii="Arial" w:hAnsi="Arial" w:cs="Arial"/>
                <w:color w:val="auto"/>
                <w:sz w:val="20"/>
                <w:szCs w:val="20"/>
              </w:rPr>
              <w:t xml:space="preserve">u công </w:t>
            </w:r>
            <w:r w:rsidR="00971D12" w:rsidRPr="0063332A">
              <w:rPr>
                <w:rFonts w:ascii="Arial" w:hAnsi="Arial" w:cs="Arial"/>
                <w:color w:val="auto"/>
                <w:sz w:val="20"/>
                <w:szCs w:val="20"/>
              </w:rPr>
              <w:t>trình điện</w:t>
            </w:r>
          </w:p>
        </w:tc>
      </w:tr>
    </w:tbl>
    <w:p w:rsidR="0039698A" w:rsidRPr="0063332A" w:rsidRDefault="00D827F5" w:rsidP="00877507">
      <w:pPr>
        <w:pStyle w:val="Tablecaption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PH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63332A">
        <w:rPr>
          <w:rFonts w:ascii="Arial" w:hAnsi="Arial" w:cs="Arial"/>
          <w:color w:val="auto"/>
          <w:sz w:val="20"/>
          <w:szCs w:val="20"/>
        </w:rPr>
        <w:t>N II. NỘI DUNG CỤ TH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CỦA TỪNG THỦ TỤC HÀNH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CHÍNH THUỘC PHẠM VI CH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Ứ</w:t>
      </w:r>
      <w:r w:rsidR="00CF0EBA" w:rsidRPr="0063332A">
        <w:rPr>
          <w:rFonts w:ascii="Arial" w:hAnsi="Arial" w:cs="Arial"/>
          <w:color w:val="auto"/>
          <w:sz w:val="20"/>
          <w:szCs w:val="20"/>
        </w:rPr>
        <w:t>C N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Ă</w:t>
      </w:r>
      <w:r w:rsidRPr="0063332A">
        <w:rPr>
          <w:rFonts w:ascii="Arial" w:hAnsi="Arial" w:cs="Arial"/>
          <w:color w:val="auto"/>
          <w:sz w:val="20"/>
          <w:szCs w:val="20"/>
        </w:rPr>
        <w:t>NG QUẢN LÝ CỦA BỘ TÀI CHÍNH</w:t>
      </w:r>
    </w:p>
    <w:p w:rsidR="0039698A" w:rsidRPr="0063332A" w:rsidRDefault="00CF0EBA" w:rsidP="00002B38">
      <w:pPr>
        <w:pStyle w:val="BodyText"/>
        <w:tabs>
          <w:tab w:val="left" w:pos="921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7" w:name="bookmark16"/>
      <w:bookmarkEnd w:id="17"/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1. T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hủ tục: 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“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Chuyển giao công </w:t>
      </w:r>
      <w:r w:rsidR="00971D12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là 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hạ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tầng kỹ thuật 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sử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dụng chung trong các dự án khu 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đô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thị,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khu dân cư và dự án khác do ch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ủ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đầ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u t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ư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ph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i bàn giao l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ạ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i cho Nhà nước theo 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q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uy </w:t>
      </w:r>
      <w:r w:rsidR="00971D12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của pháp luật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”</w:t>
      </w:r>
    </w:p>
    <w:p w:rsidR="0039698A" w:rsidRPr="0063332A" w:rsidRDefault="00CF0EBA" w:rsidP="00002B38">
      <w:pPr>
        <w:pStyle w:val="BodyText"/>
        <w:tabs>
          <w:tab w:val="left" w:pos="924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8" w:name="bookmark17"/>
      <w:bookmarkEnd w:id="18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a.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D827F5" w:rsidRPr="0063332A">
        <w:rPr>
          <w:rFonts w:ascii="Arial" w:hAnsi="Arial" w:cs="Arial"/>
          <w:color w:val="auto"/>
          <w:sz w:val="20"/>
          <w:szCs w:val="20"/>
        </w:rPr>
        <w:t>Trình tự thực hiện:</w:t>
      </w:r>
    </w:p>
    <w:p w:rsidR="0039698A" w:rsidRPr="0063332A" w:rsidRDefault="00CF0EBA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a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1</w:t>
      </w:r>
      <w:r w:rsidR="00D827F5" w:rsidRPr="0063332A">
        <w:rPr>
          <w:rFonts w:ascii="Arial" w:hAnsi="Arial" w:cs="Arial"/>
          <w:color w:val="auto"/>
          <w:sz w:val="20"/>
          <w:szCs w:val="20"/>
        </w:rPr>
        <w:t>) Chủ đầu tư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dự án khu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thị, khu dân cư và dự án khác (Bên giao) lập </w:t>
      </w:r>
      <w:r w:rsidRPr="0063332A">
        <w:rPr>
          <w:rFonts w:ascii="Arial" w:hAnsi="Arial" w:cs="Arial"/>
          <w:color w:val="auto"/>
          <w:sz w:val="20"/>
          <w:szCs w:val="20"/>
        </w:rPr>
        <w:t>hồ sơ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đề nghị</w:t>
      </w:r>
      <w:r w:rsidRPr="0063332A">
        <w:rPr>
          <w:rFonts w:ascii="Arial" w:hAnsi="Arial" w:cs="Arial"/>
          <w:color w:val="auto"/>
          <w:sz w:val="20"/>
          <w:szCs w:val="20"/>
        </w:rPr>
        <w:t>, g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Pr="0063332A">
        <w:rPr>
          <w:rFonts w:ascii="Arial" w:hAnsi="Arial" w:cs="Arial"/>
          <w:color w:val="auto"/>
          <w:sz w:val="20"/>
          <w:szCs w:val="20"/>
        </w:rPr>
        <w:t>i cơ quan nh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ậ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bàn giao hạ </w:t>
      </w:r>
      <w:r w:rsidRPr="0063332A">
        <w:rPr>
          <w:rFonts w:ascii="Arial" w:hAnsi="Arial" w:cs="Arial"/>
          <w:color w:val="auto"/>
          <w:sz w:val="20"/>
          <w:szCs w:val="20"/>
        </w:rPr>
        <w:t>tầng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kỹ thuật trong dự 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á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khu </w:t>
      </w:r>
      <w:r w:rsidRPr="0063332A">
        <w:rPr>
          <w:rFonts w:ascii="Arial" w:hAnsi="Arial" w:cs="Arial"/>
          <w:color w:val="auto"/>
          <w:sz w:val="20"/>
          <w:szCs w:val="20"/>
        </w:rPr>
        <w:t>đô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thị, khu dân cư và dự án khác (Bên nhận).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a2) Trong thời hạn 07 ngày,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kể từ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ngày nhận 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được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đầ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y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đủ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 hồ sơ đề nghị chuy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 giao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, cơ quan nhận bàn giao hạ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tầng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kỹ thuật trong các dự án khu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đô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thị, khu dân cư và dự án khác có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văn 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về việc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chuyển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giao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kèm theo các hồ sơ do Bên gia</w:t>
      </w:r>
      <w:r w:rsidR="00CF0EBA" w:rsidRPr="0063332A">
        <w:rPr>
          <w:rFonts w:ascii="Arial" w:hAnsi="Arial" w:cs="Arial"/>
          <w:color w:val="auto"/>
          <w:sz w:val="20"/>
          <w:szCs w:val="20"/>
        </w:rPr>
        <w:t>o lập, gửi Bên nhận theo công b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 Tập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>oàn Điện lực Việt Nam.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a3) Trong thời hạn 30 ngày,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kể từ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ngày nhận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được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hồ s</w:t>
      </w:r>
      <w:r w:rsidR="00CF0EBA" w:rsidRPr="0063332A">
        <w:rPr>
          <w:rFonts w:ascii="Arial" w:hAnsi="Arial" w:cs="Arial"/>
          <w:color w:val="auto"/>
          <w:sz w:val="20"/>
          <w:szCs w:val="20"/>
        </w:rPr>
        <w:t>ơ do cơ quan nhận bàn giao hạ t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ng kỹ thuật trong các dự án khu 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đô thị, khu dân cư và dự án khác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gử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i, Bên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nhận có trách nhiệm chủ trì, ph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color w:val="auto"/>
          <w:sz w:val="20"/>
          <w:szCs w:val="20"/>
        </w:rPr>
        <w:t>i hợp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 với cơ quan nhận bàn giao hạ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tầ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ng kỹ thuật trong các dự án khu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đô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thị, khu dân cư và dự án khác và Bên giao thực hiện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 tra thực trạng c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,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ánh giá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về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 việc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áp ứng các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chuyển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giao theo quy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tại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4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02/2024/NĐ-CP và lập B</w:t>
      </w:r>
      <w:r w:rsidR="00CF0EBA" w:rsidRPr="0063332A">
        <w:rPr>
          <w:rFonts w:ascii="Arial" w:hAnsi="Arial" w:cs="Arial"/>
          <w:color w:val="auto"/>
          <w:sz w:val="20"/>
          <w:szCs w:val="20"/>
        </w:rPr>
        <w:t>iên 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theo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Mẫu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số 02 tại Phụ lục ban hành kèm theo Nghị định 02/2024/NĐ-CP; trên cơ sở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đó</w:t>
      </w:r>
      <w:r w:rsidRPr="0063332A">
        <w:rPr>
          <w:rFonts w:ascii="Arial" w:hAnsi="Arial" w:cs="Arial"/>
          <w:color w:val="auto"/>
          <w:sz w:val="20"/>
          <w:szCs w:val="20"/>
        </w:rPr>
        <w:t>: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- Trường hợp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ủ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thì thực hiện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kê, xác định giá trị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; việc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kê, xác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giá trị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được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lập thành B</w:t>
      </w:r>
      <w:r w:rsidR="00CF0EBA" w:rsidRPr="0063332A">
        <w:rPr>
          <w:rFonts w:ascii="Arial" w:hAnsi="Arial" w:cs="Arial"/>
          <w:color w:val="auto"/>
          <w:sz w:val="20"/>
          <w:szCs w:val="20"/>
        </w:rPr>
        <w:t>iên 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theo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Mẫu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số 04 tại Phụ lục ban hành kèm theo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02/2024/</w:t>
      </w:r>
      <w:r w:rsidR="00971D12" w:rsidRPr="0063332A">
        <w:rPr>
          <w:rFonts w:ascii="Arial" w:hAnsi="Arial" w:cs="Arial"/>
          <w:color w:val="auto"/>
          <w:sz w:val="20"/>
          <w:szCs w:val="20"/>
        </w:rPr>
        <w:t>NĐ</w:t>
      </w:r>
      <w:r w:rsidRPr="0063332A">
        <w:rPr>
          <w:rFonts w:ascii="Arial" w:hAnsi="Arial" w:cs="Arial"/>
          <w:color w:val="auto"/>
          <w:sz w:val="20"/>
          <w:szCs w:val="20"/>
        </w:rPr>
        <w:t>-CP;</w:t>
      </w:r>
    </w:p>
    <w:p w:rsidR="0039698A" w:rsidRPr="0063332A" w:rsidRDefault="00CF0EBA" w:rsidP="00002B38">
      <w:pPr>
        <w:pStyle w:val="BodyText"/>
        <w:tabs>
          <w:tab w:val="left" w:pos="806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9" w:name="bookmark18"/>
      <w:bookmarkEnd w:id="19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Trường hợp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công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không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thì Bên nhận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ó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văn bản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thông báo cho Bên giao và cơ quan nhận bàn giao hạ tầng kỹ thuật trong các dự án khu </w:t>
      </w:r>
      <w:r w:rsidRPr="0063332A">
        <w:rPr>
          <w:rFonts w:ascii="Arial" w:hAnsi="Arial" w:cs="Arial"/>
          <w:color w:val="auto"/>
          <w:sz w:val="20"/>
          <w:szCs w:val="20"/>
        </w:rPr>
        <w:t>đô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thị, khu dân cư và dự án khác biết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không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, trong </w:t>
      </w:r>
      <w:r w:rsidRPr="0063332A">
        <w:rPr>
          <w:rFonts w:ascii="Arial" w:hAnsi="Arial" w:cs="Arial"/>
          <w:color w:val="auto"/>
          <w:sz w:val="20"/>
          <w:szCs w:val="20"/>
        </w:rPr>
        <w:t>đó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xác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cụ thể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kiện không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>á</w:t>
      </w:r>
      <w:r w:rsidRPr="0063332A">
        <w:rPr>
          <w:rFonts w:ascii="Arial" w:hAnsi="Arial" w:cs="Arial"/>
          <w:color w:val="auto"/>
          <w:sz w:val="20"/>
          <w:szCs w:val="20"/>
        </w:rPr>
        <w:t>p ứng. Sau khi Bên giao kh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Pr="0063332A">
        <w:rPr>
          <w:rFonts w:ascii="Arial" w:hAnsi="Arial" w:cs="Arial"/>
          <w:color w:val="auto"/>
          <w:sz w:val="20"/>
          <w:szCs w:val="20"/>
        </w:rPr>
        <w:t>c phục các t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ồ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ại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áp ứng các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thực hiện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theo quy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</w:t>
      </w:r>
      <w:r w:rsidRPr="0063332A">
        <w:rPr>
          <w:rFonts w:ascii="Arial" w:hAnsi="Arial" w:cs="Arial"/>
          <w:color w:val="auto"/>
          <w:sz w:val="20"/>
          <w:szCs w:val="20"/>
        </w:rPr>
        <w:t>ì tiếp tục thực hiện các bước đ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theo quy định tại Nghị định 02/2024/NĐ-CP.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a4) Trong thời hạn 07 ngày,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kể từ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ngày hoàn thành việc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kê, xác định giá trị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CF0EBA" w:rsidRPr="0063332A">
        <w:rPr>
          <w:rFonts w:ascii="Arial" w:hAnsi="Arial" w:cs="Arial"/>
          <w:color w:val="auto"/>
          <w:sz w:val="20"/>
          <w:szCs w:val="20"/>
        </w:rPr>
        <w:t>, Thủ trư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="00CF0EBA" w:rsidRPr="0063332A">
        <w:rPr>
          <w:rFonts w:ascii="Arial" w:hAnsi="Arial" w:cs="Arial"/>
          <w:color w:val="auto"/>
          <w:sz w:val="20"/>
          <w:szCs w:val="20"/>
        </w:rPr>
        <w:t xml:space="preserve">ng cơ quan nhận bàn giao hạ </w:t>
      </w:r>
      <w:r w:rsidR="00CF0EBA" w:rsidRPr="0063332A">
        <w:rPr>
          <w:rFonts w:ascii="Arial" w:hAnsi="Arial" w:cs="Arial"/>
          <w:color w:val="auto"/>
          <w:sz w:val="20"/>
          <w:szCs w:val="20"/>
          <w:lang w:val="en-SG"/>
        </w:rPr>
        <w:t>tầ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ng kỹ thuật trong các dự án khu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đô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thị, khu dân cư và dự án khác có trách nhiệm ban hành Quyết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>.</w:t>
      </w:r>
    </w:p>
    <w:p w:rsidR="0039698A" w:rsidRPr="0063332A" w:rsidRDefault="00CF0EBA" w:rsidP="00002B38">
      <w:pPr>
        <w:pStyle w:val="BodyText"/>
        <w:tabs>
          <w:tab w:val="left" w:pos="925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0" w:name="bookmark19"/>
      <w:bookmarkEnd w:id="20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b.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Cách thức thực hiện: Nộp 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ồ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sơ trực tiế</w:t>
      </w:r>
      <w:r w:rsidRPr="0063332A">
        <w:rPr>
          <w:rFonts w:ascii="Arial" w:hAnsi="Arial" w:cs="Arial"/>
          <w:color w:val="auto"/>
          <w:sz w:val="20"/>
          <w:szCs w:val="20"/>
        </w:rPr>
        <w:t>p hoặc qua bưu chính hoặc điện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tử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trong trường hợp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chữ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ký số.</w:t>
      </w:r>
    </w:p>
    <w:p w:rsidR="0039698A" w:rsidRPr="0063332A" w:rsidRDefault="00BF1E0F" w:rsidP="00002B38">
      <w:pPr>
        <w:pStyle w:val="BodyText"/>
        <w:tabs>
          <w:tab w:val="left" w:pos="88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1" w:name="bookmark20"/>
      <w:bookmarkEnd w:id="21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c.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Thành ph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n,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số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lượng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hồ sơ</w:t>
      </w:r>
      <w:r w:rsidR="00D827F5" w:rsidRPr="0063332A">
        <w:rPr>
          <w:rFonts w:ascii="Arial" w:hAnsi="Arial" w:cs="Arial"/>
          <w:color w:val="auto"/>
          <w:sz w:val="20"/>
          <w:szCs w:val="20"/>
        </w:rPr>
        <w:t>:</w:t>
      </w:r>
    </w:p>
    <w:p w:rsidR="0039698A" w:rsidRPr="0063332A" w:rsidRDefault="00BF1E0F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r w:rsidRPr="0063332A">
        <w:rPr>
          <w:rFonts w:ascii="Arial" w:hAnsi="Arial" w:cs="Arial"/>
          <w:color w:val="auto"/>
          <w:sz w:val="20"/>
          <w:szCs w:val="20"/>
        </w:rPr>
        <w:t>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1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. Thành phần hồ sơ: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(kho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n 1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12 Nghị định số 02/2024/NĐ-CP ngày 10/01/2024 của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 </w:t>
      </w:r>
      <w:r w:rsidR="00002B38" w:rsidRPr="0063332A">
        <w:rPr>
          <w:rFonts w:ascii="Arial" w:hAnsi="Arial" w:cs="Arial"/>
          <w:i/>
          <w:iCs/>
          <w:color w:val="auto"/>
          <w:sz w:val="20"/>
          <w:szCs w:val="20"/>
        </w:rPr>
        <w:t>Ch</w:t>
      </w:r>
      <w:r w:rsidR="00002B38"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í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nh phủ)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:</w:t>
      </w:r>
    </w:p>
    <w:p w:rsidR="0039698A" w:rsidRPr="0063332A" w:rsidRDefault="00BF1E0F" w:rsidP="00002B38">
      <w:pPr>
        <w:pStyle w:val="BodyText"/>
        <w:tabs>
          <w:tab w:val="left" w:pos="795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2" w:name="bookmark21"/>
      <w:bookmarkEnd w:id="22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Văn bản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chủ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đầu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tư </w:t>
      </w:r>
      <w:r w:rsidRPr="0063332A">
        <w:rPr>
          <w:rFonts w:ascii="Arial" w:hAnsi="Arial" w:cs="Arial"/>
          <w:color w:val="auto"/>
          <w:sz w:val="20"/>
          <w:szCs w:val="20"/>
        </w:rPr>
        <w:t>đề nghị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theo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Mẫu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số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01 tại Phụ lục ban </w:t>
      </w:r>
      <w:r w:rsidR="00D827F5" w:rsidRPr="0063332A">
        <w:rPr>
          <w:rFonts w:ascii="Arial" w:hAnsi="Arial" w:cs="Arial"/>
          <w:color w:val="auto"/>
          <w:sz w:val="20"/>
          <w:szCs w:val="20"/>
        </w:rPr>
        <w:lastRenderedPageBreak/>
        <w:t xml:space="preserve">hành kèm theo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này: 01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>n chính;</w:t>
      </w:r>
    </w:p>
    <w:p w:rsidR="0039698A" w:rsidRPr="0063332A" w:rsidRDefault="00BF1E0F" w:rsidP="00002B38">
      <w:pPr>
        <w:pStyle w:val="BodyText"/>
        <w:tabs>
          <w:tab w:val="left" w:pos="792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3" w:name="bookmark22"/>
      <w:bookmarkEnd w:id="23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Các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hồ sơ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phục vụ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quản lý</w:t>
      </w:r>
      <w:r w:rsidRPr="0063332A">
        <w:rPr>
          <w:rFonts w:ascii="Arial" w:hAnsi="Arial" w:cs="Arial"/>
          <w:color w:val="auto"/>
          <w:sz w:val="20"/>
          <w:szCs w:val="20"/>
        </w:rPr>
        <w:t>, vận hành và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color w:val="auto"/>
          <w:sz w:val="20"/>
          <w:szCs w:val="20"/>
        </w:rPr>
        <w:t>o tr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ì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trình theo quy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lại Phụ lục IX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số 06/2021/NĐ-CP ngày 26 tháng 01 năm 2021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Chính ph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quy định chi tiết một số nội dung về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quản lý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chất lượng, thi công xây dựng và bảo trì công trình xây dựng: 01 </w:t>
      </w:r>
      <w:r w:rsidRPr="0063332A">
        <w:rPr>
          <w:rFonts w:ascii="Arial" w:hAnsi="Arial" w:cs="Arial"/>
          <w:color w:val="auto"/>
          <w:sz w:val="20"/>
          <w:szCs w:val="20"/>
        </w:rPr>
        <w:t>bản sao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>;</w:t>
      </w:r>
    </w:p>
    <w:p w:rsidR="0039698A" w:rsidRPr="0063332A" w:rsidRDefault="00BF1E0F" w:rsidP="00002B38">
      <w:pPr>
        <w:pStyle w:val="BodyText"/>
        <w:tabs>
          <w:tab w:val="left" w:pos="79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4" w:name="bookmark23"/>
      <w:bookmarkEnd w:id="24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63332A">
        <w:rPr>
          <w:rFonts w:ascii="Arial" w:hAnsi="Arial" w:cs="Arial"/>
          <w:color w:val="auto"/>
          <w:sz w:val="20"/>
          <w:szCs w:val="20"/>
        </w:rPr>
        <w:t>Văn bản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phê duyệt quyết toán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cơ quan nhà nước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ó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ẩ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m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quyền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(n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u có): 01 </w:t>
      </w:r>
      <w:r w:rsidRPr="0063332A">
        <w:rPr>
          <w:rFonts w:ascii="Arial" w:hAnsi="Arial" w:cs="Arial"/>
          <w:color w:val="auto"/>
          <w:sz w:val="20"/>
          <w:szCs w:val="20"/>
        </w:rPr>
        <w:t>bản sao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>;</w:t>
      </w:r>
    </w:p>
    <w:p w:rsidR="0039698A" w:rsidRPr="0063332A" w:rsidRDefault="00BF1E0F" w:rsidP="00002B38">
      <w:pPr>
        <w:pStyle w:val="BodyText"/>
        <w:tabs>
          <w:tab w:val="left" w:pos="79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5" w:name="bookmark24"/>
      <w:bookmarkEnd w:id="25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Hồ sơ đất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ai liên quan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ến việc giao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đất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, cho thuê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>ất, chuy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 mục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ích </w:t>
      </w:r>
      <w:r w:rsidRPr="0063332A">
        <w:rPr>
          <w:rFonts w:ascii="Arial" w:hAnsi="Arial" w:cs="Arial"/>
          <w:color w:val="auto"/>
          <w:sz w:val="20"/>
          <w:szCs w:val="20"/>
        </w:rPr>
        <w:t>sử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dụng đất, công nhận quyền </w:t>
      </w:r>
      <w:r w:rsidRPr="0063332A">
        <w:rPr>
          <w:rFonts w:ascii="Arial" w:hAnsi="Arial" w:cs="Arial"/>
          <w:color w:val="auto"/>
          <w:sz w:val="20"/>
          <w:szCs w:val="20"/>
        </w:rPr>
        <w:t>sử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dụng </w:t>
      </w:r>
      <w:r w:rsidRPr="0063332A">
        <w:rPr>
          <w:rFonts w:ascii="Arial" w:hAnsi="Arial" w:cs="Arial"/>
          <w:color w:val="auto"/>
          <w:sz w:val="20"/>
          <w:szCs w:val="20"/>
        </w:rPr>
        <w:t>đất g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Pr="0063332A">
        <w:rPr>
          <w:rFonts w:ascii="Arial" w:hAnsi="Arial" w:cs="Arial"/>
          <w:color w:val="auto"/>
          <w:sz w:val="20"/>
          <w:szCs w:val="20"/>
        </w:rPr>
        <w:t>n v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ớ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i công trình và các </w:t>
      </w:r>
      <w:r w:rsidRPr="0063332A">
        <w:rPr>
          <w:rFonts w:ascii="Arial" w:hAnsi="Arial" w:cs="Arial"/>
          <w:color w:val="auto"/>
          <w:sz w:val="20"/>
          <w:szCs w:val="20"/>
        </w:rPr>
        <w:t>giấy tờ khác có liên quan (n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u có): 01 </w:t>
      </w:r>
      <w:r w:rsidRPr="0063332A">
        <w:rPr>
          <w:rFonts w:ascii="Arial" w:hAnsi="Arial" w:cs="Arial"/>
          <w:color w:val="auto"/>
          <w:sz w:val="20"/>
          <w:szCs w:val="20"/>
        </w:rPr>
        <w:t>bản sao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>;</w:t>
      </w:r>
    </w:p>
    <w:p w:rsidR="0039698A" w:rsidRPr="0063332A" w:rsidRDefault="00BF1E0F" w:rsidP="00002B38">
      <w:pPr>
        <w:pStyle w:val="BodyText"/>
        <w:tabs>
          <w:tab w:val="left" w:pos="802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6" w:name="bookmark25"/>
      <w:bookmarkEnd w:id="26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Giấy chứng nhận </w:t>
      </w:r>
      <w:r w:rsidRPr="0063332A">
        <w:rPr>
          <w:rFonts w:ascii="Arial" w:hAnsi="Arial" w:cs="Arial"/>
          <w:color w:val="auto"/>
          <w:sz w:val="20"/>
          <w:szCs w:val="20"/>
        </w:rPr>
        <w:t>thẩm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duyệt thiết k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,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văn bản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thẩm duyệt thi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63332A">
        <w:rPr>
          <w:rFonts w:ascii="Arial" w:hAnsi="Arial" w:cs="Arial"/>
          <w:color w:val="auto"/>
          <w:sz w:val="20"/>
          <w:szCs w:val="20"/>
        </w:rPr>
        <w:t>t k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,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văn 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chấp thuận kết qu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nghiệm thu về phòng cháy, </w:t>
      </w:r>
      <w:r w:rsidRPr="0063332A">
        <w:rPr>
          <w:rFonts w:ascii="Arial" w:hAnsi="Arial" w:cs="Arial"/>
          <w:color w:val="auto"/>
          <w:sz w:val="20"/>
          <w:szCs w:val="20"/>
        </w:rPr>
        <w:t>chữ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a cháy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cơ quan có </w:t>
      </w:r>
      <w:r w:rsidRPr="0063332A">
        <w:rPr>
          <w:rFonts w:ascii="Arial" w:hAnsi="Arial" w:cs="Arial"/>
          <w:color w:val="auto"/>
          <w:sz w:val="20"/>
          <w:szCs w:val="20"/>
        </w:rPr>
        <w:t>thẩm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quyền (nếu có); phương án </w:t>
      </w:r>
      <w:r w:rsidRPr="0063332A">
        <w:rPr>
          <w:rFonts w:ascii="Arial" w:hAnsi="Arial" w:cs="Arial"/>
          <w:color w:val="auto"/>
          <w:sz w:val="20"/>
          <w:szCs w:val="20"/>
        </w:rPr>
        <w:t>chữ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a cháy, phương án phòng cháy theo quy định </w:t>
      </w:r>
      <w:r w:rsidR="00002B38" w:rsidRPr="0063332A">
        <w:rPr>
          <w:rFonts w:ascii="Arial" w:hAnsi="Arial" w:cs="Arial"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pháp luật về phòng cháy, </w:t>
      </w:r>
      <w:r w:rsidRPr="0063332A">
        <w:rPr>
          <w:rFonts w:ascii="Arial" w:hAnsi="Arial" w:cs="Arial"/>
          <w:color w:val="auto"/>
          <w:sz w:val="20"/>
          <w:szCs w:val="20"/>
        </w:rPr>
        <w:t>chữa cháy: 01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>n sao.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Các bản sao </w:t>
      </w:r>
      <w:r w:rsidR="00BF1E0F" w:rsidRPr="0063332A">
        <w:rPr>
          <w:rFonts w:ascii="Arial" w:hAnsi="Arial" w:cs="Arial"/>
          <w:color w:val="auto"/>
          <w:sz w:val="20"/>
          <w:szCs w:val="20"/>
        </w:rPr>
        <w:t xml:space="preserve">phải </w:t>
      </w:r>
      <w:r w:rsidR="00BF1E0F" w:rsidRPr="0063332A">
        <w:rPr>
          <w:rFonts w:ascii="Arial" w:hAnsi="Arial" w:cs="Arial"/>
          <w:color w:val="auto"/>
          <w:sz w:val="20"/>
          <w:szCs w:val="20"/>
          <w:lang w:val="en-SG"/>
        </w:rPr>
        <w:t>đó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ng 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d</w:t>
      </w:r>
      <w:r w:rsidR="00BF1E0F" w:rsidRPr="0063332A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="00BF1E0F" w:rsidRPr="0063332A">
        <w:rPr>
          <w:rFonts w:ascii="Arial" w:hAnsi="Arial" w:cs="Arial"/>
          <w:color w:val="auto"/>
          <w:sz w:val="20"/>
          <w:szCs w:val="20"/>
        </w:rPr>
        <w:t>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treo xác nhận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Bên giao. Trường h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ợ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p các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hồ sơ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này không có hoặc bị mất, Bên giao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văn 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xác nhận về việc mất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hồ sơ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hoặc không có hồ sơ và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chịu trách nhiệm về việc xác nh</w:t>
      </w:r>
      <w:r w:rsidR="00BF1E0F" w:rsidRPr="0063332A">
        <w:rPr>
          <w:rFonts w:ascii="Arial" w:hAnsi="Arial" w:cs="Arial"/>
          <w:color w:val="auto"/>
          <w:sz w:val="20"/>
          <w:szCs w:val="20"/>
          <w:lang w:val="en-SG"/>
        </w:rPr>
        <w:t>ậ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mình;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văn bản xác nhận được thay th</w:t>
      </w:r>
      <w:r w:rsidR="00BF1E0F"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cho các hồ sơ bị mất hoặc không có.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c2. Số lượng hồ sơ: 01 bộ.</w:t>
      </w:r>
    </w:p>
    <w:p w:rsidR="00BF1E0F" w:rsidRPr="0063332A" w:rsidRDefault="00BF1E0F" w:rsidP="00002B38">
      <w:pPr>
        <w:pStyle w:val="BodyText"/>
        <w:tabs>
          <w:tab w:val="left" w:pos="942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7" w:name="bookmark26"/>
      <w:bookmarkEnd w:id="27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d.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D827F5" w:rsidRPr="0063332A">
        <w:rPr>
          <w:rFonts w:ascii="Arial" w:hAnsi="Arial" w:cs="Arial"/>
          <w:color w:val="auto"/>
          <w:sz w:val="20"/>
          <w:szCs w:val="20"/>
        </w:rPr>
        <w:t>Thời hạn giải q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uyết: 44 ngày kể từ ngày nhận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hồ sơ.</w:t>
      </w:r>
      <w:bookmarkStart w:id="28" w:name="bookmark27"/>
      <w:bookmarkEnd w:id="28"/>
    </w:p>
    <w:p w:rsidR="0039698A" w:rsidRPr="0063332A" w:rsidRDefault="00BF1E0F" w:rsidP="00002B38">
      <w:pPr>
        <w:pStyle w:val="BodyText"/>
        <w:tabs>
          <w:tab w:val="left" w:pos="942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đ.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Đ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i tượng thực hiện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thủ tục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hành chính: Chủ đầu tư dự án khu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thị, khu dân cư và dự án khác.</w:t>
      </w:r>
    </w:p>
    <w:p w:rsidR="0039698A" w:rsidRPr="0063332A" w:rsidRDefault="00BF1E0F" w:rsidP="00002B38">
      <w:pPr>
        <w:pStyle w:val="BodyText"/>
        <w:tabs>
          <w:tab w:val="left" w:pos="93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9" w:name="bookmark28"/>
      <w:bookmarkEnd w:id="29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e.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Cơ quan giải quyết thủ tục hành chính: </w:t>
      </w:r>
      <w:r w:rsidR="00D827F5" w:rsidRPr="0063332A">
        <w:rPr>
          <w:rFonts w:ascii="Arial" w:hAnsi="Arial" w:cs="Arial"/>
          <w:bCs/>
          <w:iCs/>
          <w:color w:val="auto"/>
          <w:sz w:val="20"/>
          <w:szCs w:val="20"/>
        </w:rPr>
        <w:t>Cơ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quan nhận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bà</w:t>
      </w:r>
      <w:r w:rsidRPr="0063332A">
        <w:rPr>
          <w:rFonts w:ascii="Arial" w:hAnsi="Arial" w:cs="Arial"/>
          <w:color w:val="auto"/>
          <w:sz w:val="20"/>
          <w:szCs w:val="20"/>
        </w:rPr>
        <w:t>n giao hạ t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kỹ thuật dự án khu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thị, khu dân cư và dự án khác.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g.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Kết qu</w:t>
      </w:r>
      <w:r w:rsidR="00BF1E0F"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thực hiện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thủ tục</w:t>
      </w:r>
      <w:r w:rsidR="00BF1E0F" w:rsidRPr="0063332A">
        <w:rPr>
          <w:rFonts w:ascii="Arial" w:hAnsi="Arial" w:cs="Arial"/>
          <w:color w:val="auto"/>
          <w:sz w:val="20"/>
          <w:szCs w:val="20"/>
        </w:rPr>
        <w:t xml:space="preserve"> hành chính: </w:t>
      </w:r>
      <w:r w:rsidR="00BF1E0F" w:rsidRPr="0063332A">
        <w:rPr>
          <w:rFonts w:ascii="Arial" w:hAnsi="Arial" w:cs="Arial"/>
          <w:color w:val="auto"/>
          <w:sz w:val="20"/>
          <w:szCs w:val="20"/>
          <w:lang w:val="en-SG"/>
        </w:rPr>
        <w:t>Quyế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t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>.</w:t>
      </w:r>
    </w:p>
    <w:p w:rsidR="0039698A" w:rsidRPr="0063332A" w:rsidRDefault="00BF1E0F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h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D827F5" w:rsidRPr="0063332A">
        <w:rPr>
          <w:rFonts w:ascii="Arial" w:hAnsi="Arial" w:cs="Arial"/>
          <w:color w:val="auto"/>
          <w:sz w:val="20"/>
          <w:szCs w:val="20"/>
        </w:rPr>
        <w:t>Phí, lệ phí: Không có.</w:t>
      </w:r>
    </w:p>
    <w:p w:rsidR="0039698A" w:rsidRPr="0063332A" w:rsidRDefault="00BF1E0F" w:rsidP="00002B38">
      <w:pPr>
        <w:pStyle w:val="BodyText"/>
        <w:tabs>
          <w:tab w:val="left" w:pos="871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0" w:name="bookmark29"/>
      <w:bookmarkEnd w:id="30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i.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D827F5" w:rsidRPr="0063332A">
        <w:rPr>
          <w:rFonts w:ascii="Arial" w:hAnsi="Arial" w:cs="Arial"/>
          <w:color w:val="auto"/>
          <w:sz w:val="20"/>
          <w:szCs w:val="20"/>
        </w:rPr>
        <w:t>Yêu cầu, điều kiện thực hiện thủ tục hành chính:</w:t>
      </w:r>
    </w:p>
    <w:p w:rsidR="0039698A" w:rsidRPr="0063332A" w:rsidRDefault="00BF1E0F" w:rsidP="00002B38">
      <w:pPr>
        <w:pStyle w:val="BodyText"/>
        <w:tabs>
          <w:tab w:val="left" w:pos="103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1" w:name="bookmark30"/>
      <w:bookmarkEnd w:id="31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i.1)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Phù hợp với quy hoạch phát triển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lực, p</w:t>
      </w:r>
      <w:r w:rsidRPr="0063332A">
        <w:rPr>
          <w:rFonts w:ascii="Arial" w:hAnsi="Arial" w:cs="Arial"/>
          <w:color w:val="auto"/>
          <w:sz w:val="20"/>
          <w:szCs w:val="20"/>
        </w:rPr>
        <w:t>hương án phát triển mạng lưới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p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trong quy hoạch t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í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nh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ại thời </w:t>
      </w:r>
      <w:r w:rsidRPr="0063332A">
        <w:rPr>
          <w:rFonts w:ascii="Arial" w:hAnsi="Arial" w:cs="Arial"/>
          <w:color w:val="auto"/>
          <w:sz w:val="20"/>
          <w:szCs w:val="20"/>
        </w:rPr>
        <w:t>điểm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xây dựng hoặc tại thời </w:t>
      </w:r>
      <w:r w:rsidRPr="0063332A">
        <w:rPr>
          <w:rFonts w:ascii="Arial" w:hAnsi="Arial" w:cs="Arial"/>
          <w:color w:val="auto"/>
          <w:sz w:val="20"/>
          <w:szCs w:val="20"/>
        </w:rPr>
        <w:t>điểm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tra thự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c trạng công trình điện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(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i với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>ường dây và trạm bi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áp có cấp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áp từ 1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00</w:t>
      </w:r>
      <w:r w:rsidRPr="0063332A">
        <w:rPr>
          <w:rFonts w:ascii="Arial" w:hAnsi="Arial" w:cs="Arial"/>
          <w:color w:val="auto"/>
          <w:sz w:val="20"/>
          <w:szCs w:val="20"/>
        </w:rPr>
        <w:t>kV tr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l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ê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và Nhà máy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, thiết bị, lưới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đầu n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i nhà máy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với hệ th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qu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c gia và các công trình phụ trợ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Nhà máy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>);</w:t>
      </w:r>
    </w:p>
    <w:p w:rsidR="00BF1E0F" w:rsidRPr="0063332A" w:rsidRDefault="00BF1E0F" w:rsidP="00002B38">
      <w:pPr>
        <w:pStyle w:val="BodyText"/>
        <w:tabs>
          <w:tab w:val="left" w:pos="103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bookmarkStart w:id="32" w:name="bookmark31"/>
      <w:bookmarkEnd w:id="32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i.2) </w:t>
      </w:r>
      <w:r w:rsidRPr="0063332A">
        <w:rPr>
          <w:rFonts w:ascii="Arial" w:hAnsi="Arial" w:cs="Arial"/>
          <w:color w:val="auto"/>
          <w:sz w:val="20"/>
          <w:szCs w:val="20"/>
        </w:rPr>
        <w:t>Đáp ứng quy chu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ẩ</w:t>
      </w:r>
      <w:r w:rsidRPr="0063332A">
        <w:rPr>
          <w:rFonts w:ascii="Arial" w:hAnsi="Arial" w:cs="Arial"/>
          <w:color w:val="auto"/>
          <w:sz w:val="20"/>
          <w:szCs w:val="20"/>
        </w:rPr>
        <w:t>n, tiêu chu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ẩ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có liên quan tại thời </w:t>
      </w:r>
      <w:r w:rsidRPr="0063332A">
        <w:rPr>
          <w:rFonts w:ascii="Arial" w:hAnsi="Arial" w:cs="Arial"/>
          <w:color w:val="auto"/>
          <w:sz w:val="20"/>
          <w:szCs w:val="20"/>
        </w:rPr>
        <w:t>điểm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tra thực trạng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>;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</w:p>
    <w:p w:rsidR="0039698A" w:rsidRPr="0063332A" w:rsidRDefault="00BF1E0F" w:rsidP="00002B38">
      <w:pPr>
        <w:pStyle w:val="BodyText"/>
        <w:tabs>
          <w:tab w:val="left" w:pos="103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  <w:lang w:val="en-SG"/>
        </w:rPr>
        <w:t>i.3)</w:t>
      </w:r>
      <w:bookmarkStart w:id="33" w:name="bookmark32"/>
      <w:bookmarkEnd w:id="33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>ang vận hành (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ang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được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sử dụng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phát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>, truy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Pr="0063332A">
        <w:rPr>
          <w:rFonts w:ascii="Arial" w:hAnsi="Arial" w:cs="Arial"/>
          <w:color w:val="auto"/>
          <w:sz w:val="20"/>
          <w:szCs w:val="20"/>
        </w:rPr>
        <w:t>n t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i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>, phân ph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color w:val="auto"/>
          <w:sz w:val="20"/>
          <w:szCs w:val="20"/>
        </w:rPr>
        <w:t>i điện)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ì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nh thường tại thời </w:t>
      </w:r>
      <w:r w:rsidRPr="0063332A">
        <w:rPr>
          <w:rFonts w:ascii="Arial" w:hAnsi="Arial" w:cs="Arial"/>
          <w:color w:val="auto"/>
          <w:sz w:val="20"/>
          <w:szCs w:val="20"/>
        </w:rPr>
        <w:t>điểm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tra thực trạng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>;</w:t>
      </w:r>
    </w:p>
    <w:p w:rsidR="0039698A" w:rsidRPr="0063332A" w:rsidRDefault="00BF1E0F" w:rsidP="00002B38">
      <w:pPr>
        <w:pStyle w:val="BodyText"/>
        <w:tabs>
          <w:tab w:val="left" w:pos="1032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4" w:name="bookmark33"/>
      <w:bookmarkEnd w:id="34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i.4)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không trong tình trạng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63332A">
        <w:rPr>
          <w:rFonts w:ascii="Arial" w:hAnsi="Arial" w:cs="Arial"/>
          <w:color w:val="auto"/>
          <w:sz w:val="20"/>
          <w:szCs w:val="20"/>
        </w:rPr>
        <w:t>m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color w:val="auto"/>
          <w:sz w:val="20"/>
          <w:szCs w:val="20"/>
        </w:rPr>
        <w:t>, th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Pr="0063332A">
        <w:rPr>
          <w:rFonts w:ascii="Arial" w:hAnsi="Arial" w:cs="Arial"/>
          <w:color w:val="auto"/>
          <w:sz w:val="20"/>
          <w:szCs w:val="20"/>
        </w:rPr>
        <w:t>p,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color w:val="auto"/>
          <w:sz w:val="20"/>
          <w:szCs w:val="20"/>
        </w:rPr>
        <w:t>o l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ã</w:t>
      </w:r>
      <w:r w:rsidRPr="0063332A">
        <w:rPr>
          <w:rFonts w:ascii="Arial" w:hAnsi="Arial" w:cs="Arial"/>
          <w:color w:val="auto"/>
          <w:sz w:val="20"/>
          <w:szCs w:val="20"/>
        </w:rPr>
        <w:t>nh hoặc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o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đả</w:t>
      </w:r>
      <w:r w:rsidRPr="0063332A">
        <w:rPr>
          <w:rFonts w:ascii="Arial" w:hAnsi="Arial" w:cs="Arial"/>
          <w:color w:val="auto"/>
          <w:sz w:val="20"/>
          <w:szCs w:val="20"/>
        </w:rPr>
        <w:t>m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="00D827F5" w:rsidRPr="0063332A">
        <w:rPr>
          <w:rFonts w:ascii="Arial" w:hAnsi="Arial" w:cs="Arial"/>
          <w:color w:val="auto"/>
          <w:sz w:val="20"/>
          <w:szCs w:val="20"/>
        </w:rPr>
        <w:t>t kỳ nghĩa vụ nợ nào khác.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k. 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Căn cứ pháp lý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thủ tục hành chính: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số 02/2024/NĐ-CP ngày 10/01/2024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Chính phủ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về việc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là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tài sản</w:t>
      </w:r>
      <w:r w:rsidR="00BF1E0F" w:rsidRPr="0063332A">
        <w:rPr>
          <w:rFonts w:ascii="Arial" w:hAnsi="Arial" w:cs="Arial"/>
          <w:color w:val="auto"/>
          <w:sz w:val="20"/>
          <w:szCs w:val="20"/>
        </w:rPr>
        <w:t xml:space="preserve"> c</w:t>
      </w:r>
      <w:r w:rsidR="00BF1E0F" w:rsidRPr="0063332A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="00BF1E0F" w:rsidRPr="0063332A">
        <w:rPr>
          <w:rFonts w:ascii="Arial" w:hAnsi="Arial" w:cs="Arial"/>
          <w:color w:val="auto"/>
          <w:sz w:val="20"/>
          <w:szCs w:val="20"/>
        </w:rPr>
        <w:t xml:space="preserve">ng sang </w:t>
      </w:r>
      <w:r w:rsidR="00BF1E0F"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Pr="0063332A">
        <w:rPr>
          <w:rFonts w:ascii="Arial" w:hAnsi="Arial" w:cs="Arial"/>
          <w:color w:val="auto"/>
          <w:sz w:val="20"/>
          <w:szCs w:val="20"/>
        </w:rPr>
        <w:t>ập đoàn Điện lực Việt Nam.</w:t>
      </w:r>
    </w:p>
    <w:p w:rsidR="0039698A" w:rsidRPr="0063332A" w:rsidRDefault="00BF1E0F" w:rsidP="00002B38">
      <w:pPr>
        <w:pStyle w:val="BodyText"/>
        <w:tabs>
          <w:tab w:val="left" w:pos="931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5" w:name="bookmark34"/>
      <w:bookmarkEnd w:id="35"/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2. 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Thủ tục: </w:t>
      </w:r>
      <w:r w:rsidR="00CF0EBA" w:rsidRPr="0063332A">
        <w:rPr>
          <w:rFonts w:ascii="Arial" w:hAnsi="Arial" w:cs="Arial"/>
          <w:b/>
          <w:bCs/>
          <w:i/>
          <w:color w:val="auto"/>
          <w:sz w:val="20"/>
          <w:szCs w:val="20"/>
        </w:rPr>
        <w:t>“</w:t>
      </w:r>
      <w:r w:rsidRPr="0063332A">
        <w:rPr>
          <w:rFonts w:ascii="Arial" w:hAnsi="Arial" w:cs="Arial"/>
          <w:b/>
          <w:bCs/>
          <w:i/>
          <w:color w:val="auto"/>
          <w:sz w:val="20"/>
          <w:szCs w:val="20"/>
        </w:rPr>
        <w:t>X</w:t>
      </w:r>
      <w:r w:rsidRPr="0063332A">
        <w:rPr>
          <w:rFonts w:ascii="Arial" w:hAnsi="Arial" w:cs="Arial"/>
          <w:b/>
          <w:bCs/>
          <w:i/>
          <w:color w:val="auto"/>
          <w:sz w:val="20"/>
          <w:szCs w:val="20"/>
          <w:lang w:val="en-SG"/>
        </w:rPr>
        <w:t xml:space="preserve">ác lập 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quyền sở hữu toàn dân v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à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công </w:t>
      </w:r>
      <w:r w:rsidR="00971D12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c</w:t>
      </w:r>
      <w:r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ó</w:t>
      </w:r>
      <w:r w:rsidR="00D827F5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nguồn gốc ngoài ngân sách nhà nước</w:t>
      </w:r>
      <w:r w:rsidR="00CF0EBA" w:rsidRPr="0063332A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”</w:t>
      </w:r>
    </w:p>
    <w:p w:rsidR="0039698A" w:rsidRPr="0063332A" w:rsidRDefault="00BF1E0F" w:rsidP="00002B38">
      <w:pPr>
        <w:pStyle w:val="BodyText"/>
        <w:tabs>
          <w:tab w:val="left" w:pos="946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6" w:name="bookmark35"/>
      <w:bookmarkEnd w:id="36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a.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D827F5" w:rsidRPr="0063332A">
        <w:rPr>
          <w:rFonts w:ascii="Arial" w:hAnsi="Arial" w:cs="Arial"/>
          <w:color w:val="auto"/>
          <w:sz w:val="20"/>
          <w:szCs w:val="20"/>
        </w:rPr>
        <w:t>Trình tự thực hiện:</w:t>
      </w:r>
    </w:p>
    <w:p w:rsidR="0039698A" w:rsidRPr="0063332A" w:rsidRDefault="00BF1E0F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a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1</w:t>
      </w:r>
      <w:r w:rsidRPr="0063332A">
        <w:rPr>
          <w:rFonts w:ascii="Arial" w:hAnsi="Arial" w:cs="Arial"/>
          <w:color w:val="auto"/>
          <w:sz w:val="20"/>
          <w:szCs w:val="20"/>
        </w:rPr>
        <w:t>) T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chức, cá nhân là chủ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sở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hữu công trình điện (Bên giao) lập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hồ sơ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tr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ì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nh điện, gửi đơn vị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lực (Bên nhận).</w:t>
      </w:r>
    </w:p>
    <w:p w:rsidR="0039698A" w:rsidRPr="0063332A" w:rsidRDefault="00BF1E0F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a2) Trong thời hạn 30 ngày, k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từ ngày nhận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được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hồ sơ do Bên giao </w:t>
      </w:r>
      <w:r w:rsidRPr="0063332A">
        <w:rPr>
          <w:rFonts w:ascii="Arial" w:hAnsi="Arial" w:cs="Arial"/>
          <w:color w:val="auto"/>
          <w:sz w:val="20"/>
          <w:szCs w:val="20"/>
        </w:rPr>
        <w:t>gửi, Bên nhận có trách nhiệm ch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trì, phối hợp với Bên giao thực hiện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tra thực trạng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,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ánh giá về việc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áp ứng các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theo quy định tại Điều 4 Nghị đ</w:t>
      </w:r>
      <w:r w:rsidRPr="0063332A">
        <w:rPr>
          <w:rFonts w:ascii="Arial" w:hAnsi="Arial" w:cs="Arial"/>
          <w:color w:val="auto"/>
          <w:sz w:val="20"/>
          <w:szCs w:val="20"/>
        </w:rPr>
        <w:t>ịnh 02/2024/NĐ-CP và lập Biên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theo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Mẫu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02 tại Phụ lục ban hành kèm theo Nghị định 02/2024/NĐ-CP; trên cơ </w:t>
      </w:r>
      <w:r w:rsidRPr="0063332A">
        <w:rPr>
          <w:rFonts w:ascii="Arial" w:hAnsi="Arial" w:cs="Arial"/>
          <w:color w:val="auto"/>
          <w:sz w:val="20"/>
          <w:szCs w:val="20"/>
        </w:rPr>
        <w:t>sở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đó</w:t>
      </w:r>
      <w:r w:rsidR="00D827F5" w:rsidRPr="0063332A">
        <w:rPr>
          <w:rFonts w:ascii="Arial" w:hAnsi="Arial" w:cs="Arial"/>
          <w:color w:val="auto"/>
          <w:sz w:val="20"/>
          <w:szCs w:val="20"/>
        </w:rPr>
        <w:t>:</w:t>
      </w:r>
    </w:p>
    <w:p w:rsidR="00002B38" w:rsidRPr="0063332A" w:rsidRDefault="00BF1E0F" w:rsidP="00002B38">
      <w:pPr>
        <w:pStyle w:val="BodyText"/>
        <w:tabs>
          <w:tab w:val="left" w:pos="871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7" w:name="bookmark36"/>
      <w:bookmarkEnd w:id="37"/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Trường hợp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thì thực hiện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kê, xác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giá trị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theo quy định tại kho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4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này; việc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kê, xác định giá trị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được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lập thành Biên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theo </w:t>
      </w:r>
      <w:r w:rsidRPr="0063332A">
        <w:rPr>
          <w:rFonts w:ascii="Arial" w:hAnsi="Arial" w:cs="Arial"/>
          <w:color w:val="auto"/>
          <w:sz w:val="20"/>
          <w:szCs w:val="20"/>
        </w:rPr>
        <w:t>Mẫu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số 05 tại Phụ lục ban hành kèm theo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này;</w:t>
      </w:r>
      <w:bookmarkStart w:id="38" w:name="bookmark37"/>
      <w:bookmarkEnd w:id="38"/>
    </w:p>
    <w:p w:rsidR="0039698A" w:rsidRPr="0063332A" w:rsidRDefault="00BF1E0F" w:rsidP="00002B38">
      <w:pPr>
        <w:pStyle w:val="BodyText"/>
        <w:tabs>
          <w:tab w:val="left" w:pos="871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  <w:lang w:val="en-SG"/>
        </w:rPr>
        <w:lastRenderedPageBreak/>
        <w:t xml:space="preserve">-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Trường hợp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không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chuyển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giao thì Bên nhận có văn bản thông báo cho Bên giao biết </w:t>
      </w:r>
      <w:r w:rsidRPr="0063332A">
        <w:rPr>
          <w:rFonts w:ascii="Arial" w:hAnsi="Arial" w:cs="Arial"/>
          <w:color w:val="auto"/>
          <w:sz w:val="20"/>
          <w:szCs w:val="20"/>
        </w:rPr>
        <w:t>công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không đ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, trong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đó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xác định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cụ thể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kiện không </w:t>
      </w:r>
      <w:r w:rsidRPr="0063332A">
        <w:rPr>
          <w:rFonts w:ascii="Arial" w:hAnsi="Arial" w:cs="Arial"/>
          <w:color w:val="auto"/>
          <w:sz w:val="20"/>
          <w:szCs w:val="20"/>
        </w:rPr>
        <w:t>đáp ứng. Trường hợp Bên giao kh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c phục các tồn tại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áp ứng điều kiện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thì được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thực hiện các bước tiếp theo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chuyển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giao theo quy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tại Nghị định này.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a3) Trong thời hạn 30 ngày,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kể từ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ngày hoàn thành việc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kê, xác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giá trị, Bên nhận có trách nhiệm lập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hồ sơ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báo cáo cơ quan, người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quyền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xem xét,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quyết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xác lập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quyền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h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ữ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u toàn dân và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sang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ập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oàn Điện lực Việt Nam (trong trường hợp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năm trên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ịa bàn 01 tỉnh, thành phố trực 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thuộc trung ương) hoặc báo cáo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ập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đoàn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Điện lực Việt Nam xem xét, báo cáo cơ quan, người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quyền quyết định xác lập quyền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sở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hữu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toàn dân và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sang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Tập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đoàn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Điện lực Việt Nam (tro</w:t>
      </w:r>
      <w:r w:rsidR="00BB6481" w:rsidRPr="0063332A">
        <w:rPr>
          <w:rFonts w:ascii="Arial" w:hAnsi="Arial" w:cs="Arial"/>
          <w:color w:val="auto"/>
          <w:sz w:val="20"/>
          <w:szCs w:val="20"/>
        </w:rPr>
        <w:t>ng trường hợp công trình điện n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ằ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m trên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địa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bàn từ 02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tỉnh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, thành phố trực thuộc trung ương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trở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lên).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a4) Trong thời hạn 07 ngày,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kể từ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ngày nhận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được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đầ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y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hồ sơ hợp lệ, cơ quan, người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quyền ban hành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Q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uyết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xác lập quyền sở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hữu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toàn dân và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sang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Tập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đoàn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Điện lực Việt Nam hoặc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văn bản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h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ồ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i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>áp trong trường hợp đề nghị không phù hợp.</w:t>
      </w:r>
    </w:p>
    <w:p w:rsidR="0039698A" w:rsidRPr="0063332A" w:rsidRDefault="00BB6481" w:rsidP="00002B38">
      <w:pPr>
        <w:pStyle w:val="BodyText"/>
        <w:tabs>
          <w:tab w:val="left" w:pos="900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9" w:name="bookmark38"/>
      <w:bookmarkEnd w:id="39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b.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D827F5" w:rsidRPr="0063332A">
        <w:rPr>
          <w:rFonts w:ascii="Arial" w:hAnsi="Arial" w:cs="Arial"/>
          <w:color w:val="auto"/>
          <w:sz w:val="20"/>
          <w:szCs w:val="20"/>
        </w:rPr>
        <w:t>Cách thức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thực hiện: Nộp hồ sơ trực ti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p hoặc qua bưu chính hoặc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63332A" w:rsidRPr="0063332A">
        <w:rPr>
          <w:rFonts w:ascii="Arial" w:hAnsi="Arial" w:cs="Arial"/>
          <w:color w:val="auto"/>
          <w:sz w:val="20"/>
          <w:szCs w:val="20"/>
        </w:rPr>
        <w:t xml:space="preserve"> t</w:t>
      </w:r>
      <w:r w:rsidR="0063332A" w:rsidRPr="0063332A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trong trường hợp đã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chữ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ký s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>.</w:t>
      </w:r>
    </w:p>
    <w:p w:rsidR="0039698A" w:rsidRPr="0063332A" w:rsidRDefault="00BB6481" w:rsidP="00002B38">
      <w:pPr>
        <w:pStyle w:val="BodyText"/>
        <w:tabs>
          <w:tab w:val="left" w:pos="907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0" w:name="bookmark39"/>
      <w:bookmarkEnd w:id="40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c.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Thành ph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n,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số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lượng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hồ sơ</w:t>
      </w:r>
      <w:r w:rsidR="00D827F5" w:rsidRPr="0063332A">
        <w:rPr>
          <w:rFonts w:ascii="Arial" w:hAnsi="Arial" w:cs="Arial"/>
          <w:color w:val="auto"/>
          <w:sz w:val="20"/>
          <w:szCs w:val="20"/>
        </w:rPr>
        <w:t>: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  <w:lang w:val="en-SG"/>
        </w:rPr>
        <w:t>c1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. Thành phần hồ sơ: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(kho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n 2, kho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n 5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Điều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>4 Nghị định số 02/2024/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NĐ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>-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CP ngày 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0/0</w:t>
      </w:r>
      <w:r w:rsidRPr="0063332A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/2024 </w:t>
      </w:r>
      <w:r w:rsidR="00971D12" w:rsidRPr="0063332A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i/>
          <w:iCs/>
          <w:color w:val="auto"/>
          <w:sz w:val="20"/>
          <w:szCs w:val="20"/>
        </w:rPr>
        <w:t xml:space="preserve"> Chính phủ)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- Hồ sơ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đề nghị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chuyển </w:t>
      </w:r>
      <w:r w:rsidR="00002B38" w:rsidRPr="0063332A">
        <w:rPr>
          <w:rFonts w:ascii="Arial" w:hAnsi="Arial" w:cs="Arial"/>
          <w:color w:val="auto"/>
          <w:sz w:val="20"/>
          <w:szCs w:val="20"/>
        </w:rPr>
        <w:t>giao (do tổ chức, cá nhân là ch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s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hữu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trình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lập), gồm: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+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Văn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bản của t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chức, cá nhân là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chủ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hữu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đề nghị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quyền s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hữu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cho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Tập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đoàn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Điện lực Việt Nam theo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Mẫu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số 01 Phụ lục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ính kèm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số 02/2024/NĐ-CP: 01 b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color w:val="auto"/>
          <w:sz w:val="20"/>
          <w:szCs w:val="20"/>
        </w:rPr>
        <w:t>n chính;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+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Q</w:t>
      </w:r>
      <w:r w:rsidR="00D827F5" w:rsidRPr="0063332A">
        <w:rPr>
          <w:rFonts w:ascii="Arial" w:hAnsi="Arial" w:cs="Arial"/>
          <w:color w:val="auto"/>
          <w:sz w:val="20"/>
          <w:szCs w:val="20"/>
        </w:rPr>
        <w:t>uyết định đ</w:t>
      </w:r>
      <w:r w:rsidRPr="0063332A">
        <w:rPr>
          <w:rFonts w:ascii="Arial" w:hAnsi="Arial" w:cs="Arial"/>
          <w:color w:val="auto"/>
          <w:sz w:val="20"/>
          <w:szCs w:val="20"/>
        </w:rPr>
        <w:t>ầu tư, thiết k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kỹ thuật, thiết kế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 vẽ thi công liên quan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đế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>, b</w:t>
      </w:r>
      <w:r w:rsidR="00CF0EBA" w:rsidRPr="0063332A">
        <w:rPr>
          <w:rFonts w:ascii="Arial" w:hAnsi="Arial" w:cs="Arial"/>
          <w:color w:val="auto"/>
          <w:sz w:val="20"/>
          <w:szCs w:val="20"/>
        </w:rPr>
        <w:t>iên bản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nghiệm thu hoàn thành c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ông trình, hạng mục công trình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ộc lập có liên quan </w:t>
      </w:r>
      <w:r w:rsidRPr="0063332A">
        <w:rPr>
          <w:rFonts w:ascii="Arial" w:hAnsi="Arial" w:cs="Arial"/>
          <w:color w:val="auto"/>
          <w:sz w:val="20"/>
          <w:szCs w:val="20"/>
        </w:rPr>
        <w:t>đến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, Thông báo kết quả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dự án/công trình, Thông báo kết </w:t>
      </w:r>
      <w:r w:rsidRPr="0063332A">
        <w:rPr>
          <w:rFonts w:ascii="Arial" w:hAnsi="Arial" w:cs="Arial"/>
          <w:color w:val="auto"/>
          <w:sz w:val="20"/>
          <w:szCs w:val="20"/>
        </w:rPr>
        <w:t>quả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kiểm tra công tác nghiệm thu hoàn thành hạng mục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công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trình, công trình xây dựng theo quy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pháp luật, báo cáo 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đánh giá tác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>ộng môi trường (</w:t>
      </w:r>
      <w:r w:rsidRPr="0063332A">
        <w:rPr>
          <w:rFonts w:ascii="Arial" w:hAnsi="Arial" w:cs="Arial"/>
          <w:color w:val="auto"/>
          <w:sz w:val="20"/>
          <w:szCs w:val="20"/>
        </w:rPr>
        <w:t>nếu có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): 01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bản sao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>;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+ Hồ sơ hoàn công, sơ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>ồ mặt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ằ</w:t>
      </w:r>
      <w:r w:rsidRPr="0063332A">
        <w:rPr>
          <w:rFonts w:ascii="Arial" w:hAnsi="Arial" w:cs="Arial"/>
          <w:color w:val="auto"/>
          <w:sz w:val="20"/>
          <w:szCs w:val="20"/>
        </w:rPr>
        <w:t>ng hành lang tuyến dây và mặt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ằ</w:t>
      </w:r>
      <w:r w:rsidR="00D827F5" w:rsidRPr="0063332A">
        <w:rPr>
          <w:rFonts w:ascii="Arial" w:hAnsi="Arial" w:cs="Arial"/>
          <w:color w:val="auto"/>
          <w:sz w:val="20"/>
          <w:szCs w:val="20"/>
        </w:rPr>
        <w:t>ng trạm biến áp (nếu có): 01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>n sao;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+ Hồ sơ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đất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ai liên quan 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đến việc giao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đấ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t, cho thuê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đất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, công nhận quyền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sử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dụng 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đất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đ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u tư công trình và các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giấy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tờ khác có liên quan (</w:t>
      </w:r>
      <w:r w:rsidR="00BB6481" w:rsidRPr="0063332A">
        <w:rPr>
          <w:rFonts w:ascii="Arial" w:hAnsi="Arial" w:cs="Arial"/>
          <w:color w:val="auto"/>
          <w:sz w:val="20"/>
          <w:szCs w:val="20"/>
        </w:rPr>
        <w:t>nếu có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): 01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bản sao</w:t>
      </w:r>
      <w:r w:rsidRPr="0063332A">
        <w:rPr>
          <w:rFonts w:ascii="Arial" w:hAnsi="Arial" w:cs="Arial"/>
          <w:color w:val="auto"/>
          <w:sz w:val="20"/>
          <w:szCs w:val="20"/>
        </w:rPr>
        <w:t>;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+ </w:t>
      </w:r>
      <w:r w:rsidRPr="0063332A">
        <w:rPr>
          <w:rFonts w:ascii="Arial" w:hAnsi="Arial" w:cs="Arial"/>
          <w:color w:val="auto"/>
          <w:sz w:val="20"/>
          <w:szCs w:val="20"/>
        </w:rPr>
        <w:t>Giấy chứng nhận th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ẩ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m duyệt thiết kế,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văn bản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duyệt thiết k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,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văn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bản chấp thuận kết </w:t>
      </w:r>
      <w:r w:rsidRPr="0063332A">
        <w:rPr>
          <w:rFonts w:ascii="Arial" w:hAnsi="Arial" w:cs="Arial"/>
          <w:color w:val="auto"/>
          <w:sz w:val="20"/>
          <w:szCs w:val="20"/>
        </w:rPr>
        <w:t>quả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nghiệm thu về phòng cháy và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chữ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a cháy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cơ quan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quyền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(</w:t>
      </w:r>
      <w:r w:rsidRPr="0063332A">
        <w:rPr>
          <w:rFonts w:ascii="Arial" w:hAnsi="Arial" w:cs="Arial"/>
          <w:color w:val="auto"/>
          <w:sz w:val="20"/>
          <w:szCs w:val="20"/>
        </w:rPr>
        <w:t>nếu có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); phương án chữa cháy, phương án phòng cháy theo quy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pháp luật về phòng cháy và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chữ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a cháy: 01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bản sao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>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Các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sao là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bản sao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được chứng thực b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i cơ quan,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tổ chức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quyền. Trường hợp các hồ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sơ này không có hoặc bị mất, t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chức, cá nhân là ch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sở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hữu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trình điện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văn 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xác nhận về việc mất hồ sơ hoặc không có hồ sơ và chịu trách nhiệm về việc xác nhận của mình.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-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Hồ sơ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nghị xác lập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quyền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hữu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toàn dân và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sang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ập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đoàn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Điện lực Việt Nam </w:t>
      </w:r>
      <w:r w:rsidRPr="0063332A">
        <w:rPr>
          <w:rFonts w:ascii="Arial" w:hAnsi="Arial" w:cs="Arial"/>
          <w:i/>
          <w:iCs/>
          <w:color w:val="auto"/>
          <w:sz w:val="20"/>
          <w:szCs w:val="20"/>
        </w:rPr>
        <w:t>(do đơn vị điện lực lập),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gồm: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+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Văn 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của Bên nhận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đề nghị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xác lập quyền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sở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hữu toàn dân và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sang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Tập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đoàn Điện lực Việt Nam: 01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chính;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+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D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anh mục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do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63332A">
        <w:rPr>
          <w:rFonts w:ascii="Arial" w:hAnsi="Arial" w:cs="Arial"/>
          <w:color w:val="auto"/>
          <w:sz w:val="20"/>
          <w:szCs w:val="20"/>
        </w:rPr>
        <w:t>n nhận l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ậ</w:t>
      </w:r>
      <w:r w:rsidRPr="0063332A">
        <w:rPr>
          <w:rFonts w:ascii="Arial" w:hAnsi="Arial" w:cs="Arial"/>
          <w:color w:val="auto"/>
          <w:sz w:val="20"/>
          <w:szCs w:val="20"/>
        </w:rPr>
        <w:t>p (th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ô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số kỹ thuật, tình trạng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, năm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ưa vào sử dụng, giá trị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>): 01 bản chính;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+ Biên b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kê, xác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giá trị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theo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Mẫu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số 05 tại Phụ lục ban hành kèm theo Nghị định này: 01 </w:t>
      </w:r>
      <w:r w:rsidRPr="0063332A">
        <w:rPr>
          <w:rFonts w:ascii="Arial" w:hAnsi="Arial" w:cs="Arial"/>
          <w:color w:val="auto"/>
          <w:sz w:val="20"/>
          <w:szCs w:val="20"/>
        </w:rPr>
        <w:t>bản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chính;</w:t>
      </w:r>
    </w:p>
    <w:p w:rsidR="00BB6481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+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Văn 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tổ chức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, cá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nhân là ch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hữu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đề nghị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quyền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sở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hữu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cho Tập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đoàn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Điện lực Việt Nam: 01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bản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chính.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c2. Số lượng hồ sơ: 01 bộ.</w:t>
      </w:r>
    </w:p>
    <w:p w:rsidR="0039698A" w:rsidRPr="0063332A" w:rsidRDefault="00BB6481" w:rsidP="00002B38">
      <w:pPr>
        <w:pStyle w:val="BodyText"/>
        <w:tabs>
          <w:tab w:val="left" w:pos="958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1" w:name="bookmark40"/>
      <w:bookmarkEnd w:id="41"/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d.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</w:rPr>
        <w:t>Thời hạn gi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i quyết: 67 ngày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kể từ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ngày nhận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hồ sơ.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đ.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i tượng thực hiện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thủ tục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hành chính: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Tổ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chức, cá nhân là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chủ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 xml:space="preserve">ở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hữu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công trình điện;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đơn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vị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lực.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e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Cơ quan giải quyết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thủ tục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hành chính: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  <w:lang w:val="en-SG"/>
        </w:rPr>
        <w:t>e1</w:t>
      </w:r>
      <w:r w:rsidRPr="0063332A">
        <w:rPr>
          <w:rFonts w:ascii="Arial" w:hAnsi="Arial" w:cs="Arial"/>
          <w:color w:val="auto"/>
          <w:sz w:val="20"/>
          <w:szCs w:val="20"/>
        </w:rPr>
        <w:t>) Ch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tịch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y ban nhân dân cấp </w:t>
      </w:r>
      <w:r w:rsidRPr="0063332A">
        <w:rPr>
          <w:rFonts w:ascii="Arial" w:hAnsi="Arial" w:cs="Arial"/>
          <w:color w:val="auto"/>
          <w:sz w:val="20"/>
          <w:szCs w:val="20"/>
        </w:rPr>
        <w:t>tỉnh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hoặc cơ quan, người </w:t>
      </w:r>
      <w:r w:rsidRPr="0063332A">
        <w:rPr>
          <w:rFonts w:ascii="Arial" w:hAnsi="Arial" w:cs="Arial"/>
          <w:color w:val="auto"/>
          <w:sz w:val="20"/>
          <w:szCs w:val="20"/>
        </w:rPr>
        <w:t>có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quyền theo phân cấp </w:t>
      </w:r>
      <w:r w:rsidR="00002B38" w:rsidRPr="0063332A">
        <w:rPr>
          <w:rFonts w:ascii="Arial" w:hAnsi="Arial" w:cs="Arial"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Hội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đồ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nhân dân </w:t>
      </w:r>
      <w:r w:rsidRPr="0063332A">
        <w:rPr>
          <w:rFonts w:ascii="Arial" w:hAnsi="Arial" w:cs="Arial"/>
          <w:color w:val="auto"/>
          <w:sz w:val="20"/>
          <w:szCs w:val="20"/>
        </w:rPr>
        <w:t>tỉnh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>, thành phố trực thuộc trung ương (</w:t>
      </w:r>
      <w:r w:rsidRPr="0063332A">
        <w:rPr>
          <w:rFonts w:ascii="Arial" w:hAnsi="Arial" w:cs="Arial"/>
          <w:color w:val="auto"/>
          <w:sz w:val="20"/>
          <w:szCs w:val="20"/>
        </w:rPr>
        <w:t>đ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i với công </w:t>
      </w:r>
      <w:r w:rsidRPr="0063332A">
        <w:rPr>
          <w:rFonts w:ascii="Arial" w:hAnsi="Arial" w:cs="Arial"/>
          <w:color w:val="auto"/>
          <w:sz w:val="20"/>
          <w:szCs w:val="20"/>
        </w:rPr>
        <w:t>trình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trên </w:t>
      </w:r>
      <w:r w:rsidRPr="0063332A">
        <w:rPr>
          <w:rFonts w:ascii="Arial" w:hAnsi="Arial" w:cs="Arial"/>
          <w:color w:val="auto"/>
          <w:sz w:val="20"/>
          <w:szCs w:val="20"/>
        </w:rPr>
        <w:t>địa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bàn </w:t>
      </w:r>
      <w:r w:rsidRPr="0063332A">
        <w:rPr>
          <w:rFonts w:ascii="Arial" w:hAnsi="Arial" w:cs="Arial"/>
          <w:color w:val="auto"/>
          <w:sz w:val="20"/>
          <w:szCs w:val="20"/>
        </w:rPr>
        <w:t>tỉnh, thành ph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trực thuộc trung ương);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e2) Bộ trư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ng Bộ Công Thương hoặc cơ quan, người có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thẩm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quyền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theo phân c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p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của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Bộ trư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3332A">
        <w:rPr>
          <w:rFonts w:ascii="Arial" w:hAnsi="Arial" w:cs="Arial"/>
          <w:color w:val="auto"/>
          <w:sz w:val="20"/>
          <w:szCs w:val="20"/>
        </w:rPr>
        <w:t>ng Bộ Công thương (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ối với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trên </w:t>
      </w:r>
      <w:r w:rsidRPr="0063332A">
        <w:rPr>
          <w:rFonts w:ascii="Arial" w:hAnsi="Arial" w:cs="Arial"/>
          <w:color w:val="auto"/>
          <w:sz w:val="20"/>
          <w:szCs w:val="20"/>
        </w:rPr>
        <w:t>địa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bàn từ 02 </w:t>
      </w:r>
      <w:r w:rsidRPr="0063332A">
        <w:rPr>
          <w:rFonts w:ascii="Arial" w:hAnsi="Arial" w:cs="Arial"/>
          <w:color w:val="auto"/>
          <w:sz w:val="20"/>
          <w:szCs w:val="20"/>
        </w:rPr>
        <w:t>tỉnh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>, thành phố trực thuộc trun</w:t>
      </w:r>
      <w:r w:rsidRPr="0063332A">
        <w:rPr>
          <w:rFonts w:ascii="Arial" w:hAnsi="Arial" w:cs="Arial"/>
          <w:color w:val="auto"/>
          <w:sz w:val="20"/>
          <w:szCs w:val="20"/>
        </w:rPr>
        <w:t>g ương tr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lên)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color w:val="auto"/>
          <w:sz w:val="20"/>
          <w:szCs w:val="20"/>
        </w:rPr>
        <w:t>g.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K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ết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quả thực hiện t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hủ tụ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c hành chính: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Quyế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t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xác lập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quyền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sở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hữu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oàn dân và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sang Tập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đoàn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Điện lực Việt Nam.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h</w:t>
      </w:r>
      <w:r w:rsidR="00D827F5"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D827F5" w:rsidRPr="0063332A">
        <w:rPr>
          <w:rFonts w:ascii="Arial" w:hAnsi="Arial" w:cs="Arial"/>
          <w:color w:val="auto"/>
          <w:sz w:val="20"/>
          <w:szCs w:val="20"/>
        </w:rPr>
        <w:t>Phí, lệ phí: Không có.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i. 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Tên,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đơn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, mẫu tờ khai: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Mẫu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số 01 Phụ lục 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ính kèm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BB6481" w:rsidRPr="0063332A">
        <w:rPr>
          <w:rFonts w:ascii="Arial" w:hAnsi="Arial" w:cs="Arial"/>
          <w:color w:val="auto"/>
          <w:sz w:val="20"/>
          <w:szCs w:val="20"/>
        </w:rPr>
        <w:t xml:space="preserve"> s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02/2024/</w:t>
      </w:r>
      <w:r w:rsidR="00971D12" w:rsidRPr="0063332A">
        <w:rPr>
          <w:rFonts w:ascii="Arial" w:hAnsi="Arial" w:cs="Arial"/>
          <w:color w:val="auto"/>
          <w:sz w:val="20"/>
          <w:szCs w:val="20"/>
        </w:rPr>
        <w:t>NĐ</w:t>
      </w:r>
      <w:r w:rsidRPr="0063332A">
        <w:rPr>
          <w:rFonts w:ascii="Arial" w:hAnsi="Arial" w:cs="Arial"/>
          <w:color w:val="auto"/>
          <w:sz w:val="20"/>
          <w:szCs w:val="20"/>
        </w:rPr>
        <w:t>-CP.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bCs/>
          <w:color w:val="auto"/>
          <w:sz w:val="20"/>
          <w:szCs w:val="20"/>
        </w:rPr>
        <w:t xml:space="preserve">k.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Yêu c</w:t>
      </w:r>
      <w:r w:rsidR="00BB6481"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u,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điều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kiện thực hiện thủ tục hành chính:</w:t>
      </w:r>
    </w:p>
    <w:p w:rsidR="0039698A" w:rsidRPr="0063332A" w:rsidRDefault="00BB6481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k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1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) Phù hợp với quy hoạch phát </w:t>
      </w:r>
      <w:r w:rsidRPr="0063332A">
        <w:rPr>
          <w:rFonts w:ascii="Arial" w:hAnsi="Arial" w:cs="Arial"/>
          <w:color w:val="auto"/>
          <w:sz w:val="20"/>
          <w:szCs w:val="20"/>
        </w:rPr>
        <w:t>triển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lực, phương án phát </w:t>
      </w:r>
      <w:r w:rsidRPr="0063332A">
        <w:rPr>
          <w:rFonts w:ascii="Arial" w:hAnsi="Arial" w:cs="Arial"/>
          <w:color w:val="auto"/>
          <w:sz w:val="20"/>
          <w:szCs w:val="20"/>
        </w:rPr>
        <w:t>triển mạng lư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ớ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i </w:t>
      </w:r>
      <w:r w:rsidRPr="0063332A">
        <w:rPr>
          <w:rFonts w:ascii="Arial" w:hAnsi="Arial" w:cs="Arial"/>
          <w:color w:val="auto"/>
          <w:sz w:val="20"/>
          <w:szCs w:val="20"/>
        </w:rPr>
        <w:t>cấp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trong quy hoạch </w:t>
      </w:r>
      <w:r w:rsidRPr="0063332A">
        <w:rPr>
          <w:rFonts w:ascii="Arial" w:hAnsi="Arial" w:cs="Arial"/>
          <w:color w:val="auto"/>
          <w:sz w:val="20"/>
          <w:szCs w:val="20"/>
        </w:rPr>
        <w:t>t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í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nh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ại thời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điểm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xây dựng hoặc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ại thời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điểm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ki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m tra thực trạng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chuyển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giao (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ối với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quy định tại điểm a,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điểm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d kho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1 Điều 3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số 02/2024/NĐ-CP);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k2) Đáp ứng quy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chuẩn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, tiêu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chuẩn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có liên quan tại thời điểm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tra thực trạng công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trình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để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>;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 xml:space="preserve">k3)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002B38" w:rsidRPr="0063332A">
        <w:rPr>
          <w:rFonts w:ascii="Arial" w:hAnsi="Arial" w:cs="Arial"/>
          <w:color w:val="auto"/>
          <w:sz w:val="20"/>
          <w:szCs w:val="20"/>
        </w:rPr>
        <w:t>ang vận hành (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ang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được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sử dụng 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để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phát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, truyền 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tả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i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002B38" w:rsidRPr="0063332A">
        <w:rPr>
          <w:rFonts w:ascii="Arial" w:hAnsi="Arial" w:cs="Arial"/>
          <w:color w:val="auto"/>
          <w:sz w:val="20"/>
          <w:szCs w:val="20"/>
        </w:rPr>
        <w:t>, phân ph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i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) bình thường tại thời </w:t>
      </w:r>
      <w:r w:rsidR="00BF1E0F" w:rsidRPr="0063332A">
        <w:rPr>
          <w:rFonts w:ascii="Arial" w:hAnsi="Arial" w:cs="Arial"/>
          <w:color w:val="auto"/>
          <w:sz w:val="20"/>
          <w:szCs w:val="20"/>
        </w:rPr>
        <w:t>điểm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kiểm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tra thực trạng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đ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Pr="0063332A">
        <w:rPr>
          <w:rFonts w:ascii="Arial" w:hAnsi="Arial" w:cs="Arial"/>
          <w:color w:val="auto"/>
          <w:sz w:val="20"/>
          <w:szCs w:val="20"/>
        </w:rPr>
        <w:t>;</w:t>
      </w:r>
    </w:p>
    <w:p w:rsidR="0039698A" w:rsidRPr="0063332A" w:rsidRDefault="00D827F5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k4) Công trìn</w:t>
      </w:r>
      <w:r w:rsidR="00002B38" w:rsidRPr="0063332A">
        <w:rPr>
          <w:rFonts w:ascii="Arial" w:hAnsi="Arial" w:cs="Arial"/>
          <w:color w:val="auto"/>
          <w:sz w:val="20"/>
          <w:szCs w:val="20"/>
        </w:rPr>
        <w:t>h điện không trong tình trạng c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="00002B38" w:rsidRPr="0063332A">
        <w:rPr>
          <w:rFonts w:ascii="Arial" w:hAnsi="Arial" w:cs="Arial"/>
          <w:color w:val="auto"/>
          <w:sz w:val="20"/>
          <w:szCs w:val="20"/>
        </w:rPr>
        <w:t>m c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002B38" w:rsidRPr="0063332A">
        <w:rPr>
          <w:rFonts w:ascii="Arial" w:hAnsi="Arial" w:cs="Arial"/>
          <w:color w:val="auto"/>
          <w:sz w:val="20"/>
          <w:szCs w:val="20"/>
        </w:rPr>
        <w:t>, th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 ch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ấp</w:t>
      </w:r>
      <w:r w:rsidR="00002B38" w:rsidRPr="0063332A">
        <w:rPr>
          <w:rFonts w:ascii="Arial" w:hAnsi="Arial" w:cs="Arial"/>
          <w:color w:val="auto"/>
          <w:sz w:val="20"/>
          <w:szCs w:val="20"/>
        </w:rPr>
        <w:t>, b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002B38" w:rsidRPr="0063332A">
        <w:rPr>
          <w:rFonts w:ascii="Arial" w:hAnsi="Arial" w:cs="Arial"/>
          <w:color w:val="auto"/>
          <w:sz w:val="20"/>
          <w:szCs w:val="20"/>
        </w:rPr>
        <w:t>o lãnh hoặc b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002B38" w:rsidRPr="0063332A">
        <w:rPr>
          <w:rFonts w:ascii="Arial" w:hAnsi="Arial" w:cs="Arial"/>
          <w:color w:val="auto"/>
          <w:sz w:val="20"/>
          <w:szCs w:val="20"/>
        </w:rPr>
        <w:t xml:space="preserve">o </w:t>
      </w:r>
      <w:r w:rsidR="00002B38" w:rsidRPr="0063332A">
        <w:rPr>
          <w:rFonts w:ascii="Arial" w:hAnsi="Arial" w:cs="Arial"/>
          <w:color w:val="auto"/>
          <w:sz w:val="20"/>
          <w:szCs w:val="20"/>
          <w:lang w:val="en-SG"/>
        </w:rPr>
        <w:t>đả</w:t>
      </w:r>
      <w:r w:rsidRPr="0063332A">
        <w:rPr>
          <w:rFonts w:ascii="Arial" w:hAnsi="Arial" w:cs="Arial"/>
          <w:color w:val="auto"/>
          <w:sz w:val="20"/>
          <w:szCs w:val="20"/>
        </w:rPr>
        <w:t>m bất kỳ nghĩa vụ nợ nào khác;</w:t>
      </w:r>
    </w:p>
    <w:p w:rsidR="0039698A" w:rsidRPr="0063332A" w:rsidRDefault="00002B38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color w:val="auto"/>
          <w:sz w:val="20"/>
          <w:szCs w:val="20"/>
        </w:rPr>
        <w:t>k5) Phải có kh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năng cấp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hoặc phát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triển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cấp </w:t>
      </w:r>
      <w:r w:rsidR="00CF0EBA" w:rsidRPr="0063332A">
        <w:rPr>
          <w:rFonts w:ascii="Arial" w:hAnsi="Arial" w:cs="Arial"/>
          <w:color w:val="auto"/>
          <w:sz w:val="20"/>
          <w:szCs w:val="20"/>
        </w:rPr>
        <w:t>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cho các t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chức, hộ dân tại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địa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phương.</w:t>
      </w:r>
    </w:p>
    <w:p w:rsidR="0039698A" w:rsidRPr="0063332A" w:rsidRDefault="00002B38" w:rsidP="00002B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3332A">
        <w:rPr>
          <w:rFonts w:ascii="Arial" w:hAnsi="Arial" w:cs="Arial"/>
          <w:b/>
          <w:color w:val="auto"/>
          <w:sz w:val="20"/>
          <w:szCs w:val="20"/>
          <w:lang w:val="en-SG"/>
        </w:rPr>
        <w:t>l</w:t>
      </w:r>
      <w:r w:rsidR="00D827F5" w:rsidRPr="0063332A">
        <w:rPr>
          <w:rFonts w:ascii="Arial" w:hAnsi="Arial" w:cs="Arial"/>
          <w:b/>
          <w:color w:val="auto"/>
          <w:sz w:val="20"/>
          <w:szCs w:val="20"/>
        </w:rPr>
        <w:t>.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Căn cứ pháp lý của thủ tục hành chính: Nghị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định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số 02/2024/NĐ-CP ngày 10 tháng 01 năm 2024 của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Chính phủ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về việc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chuyển giao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công </w:t>
      </w:r>
      <w:r w:rsidR="00971D12" w:rsidRPr="0063332A">
        <w:rPr>
          <w:rFonts w:ascii="Arial" w:hAnsi="Arial" w:cs="Arial"/>
          <w:color w:val="auto"/>
          <w:sz w:val="20"/>
          <w:szCs w:val="20"/>
        </w:rPr>
        <w:t>trình điện</w:t>
      </w:r>
      <w:r w:rsidRPr="0063332A">
        <w:rPr>
          <w:rFonts w:ascii="Arial" w:hAnsi="Arial" w:cs="Arial"/>
          <w:color w:val="auto"/>
          <w:sz w:val="20"/>
          <w:szCs w:val="20"/>
        </w:rPr>
        <w:t xml:space="preserve"> là tài s</w:t>
      </w:r>
      <w:r w:rsidRPr="0063332A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n </w:t>
      </w:r>
      <w:r w:rsidR="00971D12" w:rsidRPr="0063332A">
        <w:rPr>
          <w:rFonts w:ascii="Arial" w:hAnsi="Arial" w:cs="Arial"/>
          <w:color w:val="auto"/>
          <w:sz w:val="20"/>
          <w:szCs w:val="20"/>
        </w:rPr>
        <w:t xml:space="preserve">công </w:t>
      </w:r>
      <w:r w:rsidR="00877507" w:rsidRPr="0063332A">
        <w:rPr>
          <w:rFonts w:ascii="Arial" w:hAnsi="Arial" w:cs="Arial"/>
          <w:color w:val="auto"/>
          <w:sz w:val="20"/>
          <w:szCs w:val="20"/>
        </w:rPr>
        <w:t>sang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Tập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</w:t>
      </w:r>
      <w:r w:rsidR="00BB6481" w:rsidRPr="0063332A">
        <w:rPr>
          <w:rFonts w:ascii="Arial" w:hAnsi="Arial" w:cs="Arial"/>
          <w:color w:val="auto"/>
          <w:sz w:val="20"/>
          <w:szCs w:val="20"/>
        </w:rPr>
        <w:t>đoàn</w:t>
      </w:r>
      <w:r w:rsidR="00D827F5" w:rsidRPr="0063332A">
        <w:rPr>
          <w:rFonts w:ascii="Arial" w:hAnsi="Arial" w:cs="Arial"/>
          <w:color w:val="auto"/>
          <w:sz w:val="20"/>
          <w:szCs w:val="20"/>
        </w:rPr>
        <w:t xml:space="preserve"> Điện lực Việt Nam./.</w:t>
      </w:r>
    </w:p>
    <w:sectPr w:rsidR="0039698A" w:rsidRPr="0063332A" w:rsidSect="00BF1E0F">
      <w:headerReference w:type="default" r:id="rId7"/>
      <w:pgSz w:w="11900" w:h="16840" w:code="9"/>
      <w:pgMar w:top="1440" w:right="1440" w:bottom="1440" w:left="1440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2C" w:rsidRDefault="009F762C">
      <w:r>
        <w:separator/>
      </w:r>
    </w:p>
  </w:endnote>
  <w:endnote w:type="continuationSeparator" w:id="0">
    <w:p w:rsidR="009F762C" w:rsidRDefault="009F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2C" w:rsidRDefault="009F762C"/>
  </w:footnote>
  <w:footnote w:type="continuationSeparator" w:id="0">
    <w:p w:rsidR="009F762C" w:rsidRDefault="009F76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81" w:rsidRDefault="00BB648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C85"/>
    <w:multiLevelType w:val="multilevel"/>
    <w:tmpl w:val="5ACCE1C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01CEB"/>
    <w:multiLevelType w:val="multilevel"/>
    <w:tmpl w:val="3FF289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75951"/>
    <w:multiLevelType w:val="multilevel"/>
    <w:tmpl w:val="9D624AC0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A22E16"/>
    <w:multiLevelType w:val="multilevel"/>
    <w:tmpl w:val="8F202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27169"/>
    <w:multiLevelType w:val="multilevel"/>
    <w:tmpl w:val="54FCA97E"/>
    <w:lvl w:ilvl="0">
      <w:start w:val="4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CC4602"/>
    <w:multiLevelType w:val="multilevel"/>
    <w:tmpl w:val="02EC8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EE5026"/>
    <w:multiLevelType w:val="multilevel"/>
    <w:tmpl w:val="186C5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8A"/>
    <w:rsid w:val="00002B38"/>
    <w:rsid w:val="00362738"/>
    <w:rsid w:val="0039698A"/>
    <w:rsid w:val="0048768D"/>
    <w:rsid w:val="0063332A"/>
    <w:rsid w:val="00804E22"/>
    <w:rsid w:val="00877507"/>
    <w:rsid w:val="00971D12"/>
    <w:rsid w:val="009F762C"/>
    <w:rsid w:val="00BB6481"/>
    <w:rsid w:val="00BD407C"/>
    <w:rsid w:val="00BF1E0F"/>
    <w:rsid w:val="00CF0EBA"/>
    <w:rsid w:val="00D2544C"/>
    <w:rsid w:val="00D827F5"/>
    <w:rsid w:val="00D82A62"/>
    <w:rsid w:val="00DE42D7"/>
    <w:rsid w:val="00F4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479319-7480-4C45-B202-72E875A9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b/>
      <w:bCs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 w:line="25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pPr>
      <w:ind w:firstLine="420"/>
    </w:pPr>
    <w:rPr>
      <w:b/>
      <w:bCs/>
      <w:i/>
      <w:iCs/>
      <w:sz w:val="19"/>
      <w:szCs w:val="19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pacing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spacing w:after="10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97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E0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F1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E0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0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HP</Company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4</cp:revision>
  <dcterms:created xsi:type="dcterms:W3CDTF">2024-03-06T10:10:00Z</dcterms:created>
  <dcterms:modified xsi:type="dcterms:W3CDTF">2024-03-07T01:36:00Z</dcterms:modified>
</cp:coreProperties>
</file>