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2"/>
        <w:gridCol w:w="5318"/>
      </w:tblGrid>
      <w:tr w:rsidR="006961D9" w:rsidRPr="00597990" w:rsidTr="00A80DCC">
        <w:tc>
          <w:tcPr>
            <w:tcW w:w="2052" w:type="pct"/>
            <w:shd w:val="clear" w:color="auto" w:fill="auto"/>
          </w:tcPr>
          <w:p w:rsidR="006961D9" w:rsidRPr="006961D9" w:rsidRDefault="006961D9" w:rsidP="006961D9">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CHÍNH PHỦ</w:t>
            </w:r>
          </w:p>
          <w:p w:rsidR="006961D9" w:rsidRPr="00597990" w:rsidRDefault="006961D9" w:rsidP="006961D9">
            <w:pPr>
              <w:pStyle w:val="Vnbnnidung0"/>
              <w:spacing w:after="0" w:line="240" w:lineRule="auto"/>
              <w:ind w:firstLine="0"/>
              <w:jc w:val="center"/>
              <w:rPr>
                <w:rFonts w:ascii="Arial" w:hAnsi="Arial" w:cs="Arial"/>
                <w:bCs/>
                <w:sz w:val="20"/>
                <w:szCs w:val="20"/>
                <w:vertAlign w:val="superscript"/>
              </w:rPr>
            </w:pPr>
            <w:r>
              <w:rPr>
                <w:rFonts w:ascii="Arial" w:hAnsi="Arial" w:cs="Arial"/>
                <w:bCs/>
                <w:sz w:val="20"/>
                <w:szCs w:val="20"/>
                <w:vertAlign w:val="superscript"/>
              </w:rPr>
              <w:t>__________</w:t>
            </w:r>
          </w:p>
          <w:p w:rsidR="006961D9" w:rsidRPr="006961D9" w:rsidRDefault="006961D9" w:rsidP="006961D9">
            <w:pPr>
              <w:pStyle w:val="Vnbnnidung0"/>
              <w:spacing w:after="0" w:line="240" w:lineRule="auto"/>
              <w:ind w:firstLine="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18/2025/NĐ-CP</w:t>
            </w:r>
          </w:p>
        </w:tc>
        <w:tc>
          <w:tcPr>
            <w:tcW w:w="2948" w:type="pct"/>
            <w:shd w:val="clear" w:color="auto" w:fill="auto"/>
          </w:tcPr>
          <w:p w:rsidR="006961D9" w:rsidRPr="00597990" w:rsidRDefault="006961D9" w:rsidP="006961D9">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6961D9" w:rsidRPr="00597990" w:rsidRDefault="006961D9" w:rsidP="006961D9">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6961D9" w:rsidRPr="00597990" w:rsidRDefault="006961D9" w:rsidP="006961D9">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6961D9" w:rsidRPr="0093028A" w:rsidRDefault="006961D9" w:rsidP="006961D9">
            <w:pPr>
              <w:pStyle w:val="Vnbnnidung0"/>
              <w:spacing w:after="0" w:line="240" w:lineRule="auto"/>
              <w:ind w:firstLine="0"/>
              <w:jc w:val="center"/>
              <w:rPr>
                <w:rFonts w:ascii="Arial" w:hAnsi="Arial" w:cs="Arial"/>
                <w:sz w:val="20"/>
                <w:szCs w:val="20"/>
                <w:lang w:val="en-US"/>
              </w:rPr>
            </w:pPr>
            <w:r>
              <w:rPr>
                <w:rFonts w:ascii="Arial" w:hAnsi="Arial" w:cs="Arial"/>
                <w:i/>
                <w:iCs/>
                <w:sz w:val="20"/>
                <w:szCs w:val="20"/>
              </w:rPr>
              <w:t xml:space="preserve">Hà Nội, ngày </w:t>
            </w:r>
            <w:r w:rsidR="0093028A">
              <w:rPr>
                <w:rFonts w:ascii="Arial" w:hAnsi="Arial" w:cs="Arial"/>
                <w:i/>
                <w:iCs/>
                <w:sz w:val="20"/>
                <w:szCs w:val="20"/>
                <w:lang w:val="en-US"/>
              </w:rPr>
              <w:t>08</w:t>
            </w:r>
            <w:r>
              <w:rPr>
                <w:rFonts w:ascii="Arial" w:hAnsi="Arial" w:cs="Arial"/>
                <w:i/>
                <w:iCs/>
                <w:sz w:val="20"/>
                <w:szCs w:val="20"/>
              </w:rPr>
              <w:t xml:space="preserve"> tháng </w:t>
            </w:r>
            <w:r w:rsidR="0093028A">
              <w:rPr>
                <w:rFonts w:ascii="Arial" w:hAnsi="Arial" w:cs="Arial"/>
                <w:i/>
                <w:iCs/>
                <w:sz w:val="20"/>
                <w:szCs w:val="20"/>
                <w:lang w:val="en-US"/>
              </w:rPr>
              <w:t>02</w:t>
            </w:r>
            <w:r w:rsidRPr="00597990">
              <w:rPr>
                <w:rFonts w:ascii="Arial" w:hAnsi="Arial" w:cs="Arial"/>
                <w:i/>
                <w:iCs/>
                <w:sz w:val="20"/>
                <w:szCs w:val="20"/>
              </w:rPr>
              <w:t xml:space="preserve"> năm </w:t>
            </w:r>
            <w:r w:rsidR="0093028A">
              <w:rPr>
                <w:rFonts w:ascii="Arial" w:hAnsi="Arial" w:cs="Arial"/>
                <w:i/>
                <w:iCs/>
                <w:sz w:val="20"/>
                <w:szCs w:val="20"/>
                <w:lang w:val="en-US"/>
              </w:rPr>
              <w:t>2025</w:t>
            </w:r>
          </w:p>
        </w:tc>
      </w:tr>
    </w:tbl>
    <w:p w:rsidR="006961D9" w:rsidRDefault="006961D9" w:rsidP="00B71FB7">
      <w:pPr>
        <w:pStyle w:val="Vnbnnidung0"/>
        <w:spacing w:after="0" w:line="240" w:lineRule="auto"/>
        <w:ind w:firstLine="0"/>
        <w:jc w:val="center"/>
        <w:rPr>
          <w:rFonts w:ascii="Arial" w:hAnsi="Arial" w:cs="Arial"/>
          <w:b/>
          <w:bCs/>
          <w:color w:val="000000" w:themeColor="text1"/>
          <w:sz w:val="20"/>
          <w:szCs w:val="20"/>
        </w:rPr>
      </w:pPr>
    </w:p>
    <w:p w:rsidR="006961D9" w:rsidRDefault="006961D9" w:rsidP="00B71FB7">
      <w:pPr>
        <w:pStyle w:val="Vnbnnidung0"/>
        <w:spacing w:after="0" w:line="240" w:lineRule="auto"/>
        <w:ind w:firstLine="0"/>
        <w:jc w:val="center"/>
        <w:rPr>
          <w:rFonts w:ascii="Arial" w:hAnsi="Arial" w:cs="Arial"/>
          <w:b/>
          <w:bCs/>
          <w:color w:val="000000" w:themeColor="text1"/>
          <w:sz w:val="20"/>
          <w:szCs w:val="20"/>
        </w:rPr>
      </w:pPr>
    </w:p>
    <w:p w:rsidR="007F7247" w:rsidRPr="006961D9" w:rsidRDefault="0035508A" w:rsidP="00B71FB7">
      <w:pPr>
        <w:pStyle w:val="Vnbnnidung0"/>
        <w:spacing w:after="0" w:line="240" w:lineRule="auto"/>
        <w:ind w:firstLine="0"/>
        <w:jc w:val="center"/>
        <w:rPr>
          <w:rFonts w:ascii="Arial" w:hAnsi="Arial" w:cs="Arial"/>
          <w:color w:val="000000" w:themeColor="text1"/>
          <w:sz w:val="20"/>
          <w:szCs w:val="20"/>
        </w:rPr>
      </w:pPr>
      <w:r w:rsidRPr="006961D9">
        <w:rPr>
          <w:rFonts w:ascii="Arial" w:hAnsi="Arial" w:cs="Arial"/>
          <w:b/>
          <w:bCs/>
          <w:color w:val="000000" w:themeColor="text1"/>
          <w:sz w:val="20"/>
          <w:szCs w:val="20"/>
        </w:rPr>
        <w:t>NGHỊ ĐỊNH</w:t>
      </w:r>
    </w:p>
    <w:p w:rsidR="00B71FB7" w:rsidRDefault="0035508A" w:rsidP="00B71FB7">
      <w:pPr>
        <w:pStyle w:val="Vnbnnidung0"/>
        <w:spacing w:after="0" w:line="240" w:lineRule="auto"/>
        <w:ind w:firstLine="0"/>
        <w:jc w:val="center"/>
        <w:rPr>
          <w:rFonts w:ascii="Arial" w:hAnsi="Arial" w:cs="Arial"/>
          <w:b/>
          <w:bCs/>
          <w:color w:val="000000" w:themeColor="text1"/>
          <w:sz w:val="20"/>
          <w:szCs w:val="20"/>
        </w:rPr>
      </w:pPr>
      <w:r w:rsidRPr="006961D9">
        <w:rPr>
          <w:rFonts w:ascii="Arial" w:hAnsi="Arial" w:cs="Arial"/>
          <w:b/>
          <w:bCs/>
          <w:color w:val="000000" w:themeColor="text1"/>
          <w:sz w:val="20"/>
          <w:szCs w:val="20"/>
        </w:rPr>
        <w:t>Quy định chi tiết một số điều của Luật Đ</w:t>
      </w:r>
      <w:r w:rsidR="00B71FB7">
        <w:rPr>
          <w:rFonts w:ascii="Arial" w:hAnsi="Arial" w:cs="Arial"/>
          <w:b/>
          <w:bCs/>
          <w:color w:val="000000" w:themeColor="text1"/>
          <w:sz w:val="20"/>
          <w:szCs w:val="20"/>
        </w:rPr>
        <w:t>iện lực liên quan đến hoạt động</w:t>
      </w:r>
    </w:p>
    <w:p w:rsidR="007F7247" w:rsidRDefault="0035508A" w:rsidP="00B71FB7">
      <w:pPr>
        <w:pStyle w:val="Vnbnnidung0"/>
        <w:spacing w:after="0" w:line="240" w:lineRule="auto"/>
        <w:ind w:firstLine="0"/>
        <w:jc w:val="center"/>
        <w:rPr>
          <w:rFonts w:ascii="Arial" w:hAnsi="Arial" w:cs="Arial"/>
          <w:b/>
          <w:bCs/>
          <w:color w:val="000000" w:themeColor="text1"/>
          <w:sz w:val="20"/>
          <w:szCs w:val="20"/>
        </w:rPr>
      </w:pPr>
      <w:r w:rsidRPr="006961D9">
        <w:rPr>
          <w:rFonts w:ascii="Arial" w:hAnsi="Arial" w:cs="Arial"/>
          <w:b/>
          <w:bCs/>
          <w:color w:val="000000" w:themeColor="text1"/>
          <w:sz w:val="20"/>
          <w:szCs w:val="20"/>
        </w:rPr>
        <w:t>mua bán điện và tình huống bảo đảm cung cấp điện</w:t>
      </w:r>
    </w:p>
    <w:p w:rsidR="00B71FB7" w:rsidRPr="00B71FB7" w:rsidRDefault="00B71FB7" w:rsidP="00B71FB7">
      <w:pPr>
        <w:pStyle w:val="Vnbnnidung0"/>
        <w:spacing w:after="0" w:line="240" w:lineRule="auto"/>
        <w:ind w:firstLine="0"/>
        <w:jc w:val="center"/>
        <w:rPr>
          <w:rFonts w:ascii="Arial" w:hAnsi="Arial" w:cs="Arial"/>
          <w:bCs/>
          <w:color w:val="000000" w:themeColor="text1"/>
          <w:sz w:val="20"/>
          <w:szCs w:val="20"/>
          <w:vertAlign w:val="superscript"/>
          <w:lang w:val="en-US"/>
        </w:rPr>
      </w:pPr>
      <w:r w:rsidRPr="00B71FB7">
        <w:rPr>
          <w:rFonts w:ascii="Arial" w:hAnsi="Arial" w:cs="Arial"/>
          <w:bCs/>
          <w:color w:val="000000" w:themeColor="text1"/>
          <w:sz w:val="20"/>
          <w:szCs w:val="20"/>
          <w:vertAlign w:val="superscript"/>
          <w:lang w:val="en-US"/>
        </w:rPr>
        <w:t>___________</w:t>
      </w:r>
    </w:p>
    <w:p w:rsidR="00B71FB7" w:rsidRPr="006961D9" w:rsidRDefault="00B71FB7" w:rsidP="00B71FB7">
      <w:pPr>
        <w:pStyle w:val="Vnbnnidung0"/>
        <w:spacing w:after="0" w:line="240" w:lineRule="auto"/>
        <w:ind w:firstLine="0"/>
        <w:jc w:val="center"/>
        <w:rPr>
          <w:rFonts w:ascii="Arial" w:hAnsi="Arial" w:cs="Arial"/>
          <w:color w:val="000000" w:themeColor="text1"/>
          <w:sz w:val="20"/>
          <w:szCs w:val="20"/>
        </w:rPr>
      </w:pPr>
    </w:p>
    <w:p w:rsidR="007F7247" w:rsidRPr="006961D9" w:rsidRDefault="0035508A" w:rsidP="006961D9">
      <w:pPr>
        <w:pStyle w:val="Vnbnnidung30"/>
        <w:spacing w:after="120" w:line="240" w:lineRule="auto"/>
        <w:ind w:firstLine="720"/>
        <w:jc w:val="both"/>
        <w:rPr>
          <w:rFonts w:ascii="Arial" w:hAnsi="Arial" w:cs="Arial"/>
          <w:color w:val="000000" w:themeColor="text1"/>
          <w:sz w:val="20"/>
          <w:szCs w:val="20"/>
        </w:rPr>
      </w:pPr>
      <w:r w:rsidRPr="006961D9">
        <w:rPr>
          <w:rFonts w:ascii="Arial" w:hAnsi="Arial" w:cs="Arial"/>
          <w:color w:val="000000" w:themeColor="text1"/>
          <w:sz w:val="20"/>
          <w:szCs w:val="20"/>
        </w:rPr>
        <w:t>Căn cứ Lu</w:t>
      </w:r>
      <w:r w:rsidR="00E553A8">
        <w:rPr>
          <w:rFonts w:ascii="Arial" w:hAnsi="Arial" w:cs="Arial"/>
          <w:color w:val="000000" w:themeColor="text1"/>
          <w:sz w:val="20"/>
          <w:szCs w:val="20"/>
        </w:rPr>
        <w:t>ật Tổ chức Chính phủ ngày 19 th</w:t>
      </w:r>
      <w:r w:rsidR="00E553A8">
        <w:rPr>
          <w:rFonts w:ascii="Arial" w:hAnsi="Arial" w:cs="Arial"/>
          <w:color w:val="000000" w:themeColor="text1"/>
          <w:sz w:val="20"/>
          <w:szCs w:val="20"/>
          <w:lang w:val="en-US"/>
        </w:rPr>
        <w:t>á</w:t>
      </w:r>
      <w:r w:rsidRPr="006961D9">
        <w:rPr>
          <w:rFonts w:ascii="Arial" w:hAnsi="Arial" w:cs="Arial"/>
          <w:color w:val="000000" w:themeColor="text1"/>
          <w:sz w:val="20"/>
          <w:szCs w:val="20"/>
        </w:rPr>
        <w:t>ng 6 năm 2015;</w:t>
      </w:r>
    </w:p>
    <w:p w:rsidR="007F7247" w:rsidRPr="006961D9" w:rsidRDefault="0035508A" w:rsidP="006961D9">
      <w:pPr>
        <w:pStyle w:val="Vnbnnidung30"/>
        <w:spacing w:after="120" w:line="240" w:lineRule="auto"/>
        <w:ind w:firstLine="720"/>
        <w:jc w:val="both"/>
        <w:rPr>
          <w:rFonts w:ascii="Arial" w:hAnsi="Arial" w:cs="Arial"/>
          <w:color w:val="000000" w:themeColor="text1"/>
          <w:sz w:val="20"/>
          <w:szCs w:val="20"/>
        </w:rPr>
      </w:pPr>
      <w:r w:rsidRPr="006961D9">
        <w:rPr>
          <w:rFonts w:ascii="Arial" w:hAnsi="Arial" w:cs="Arial"/>
          <w:color w:val="000000" w:themeColor="text1"/>
          <w:sz w:val="20"/>
          <w:szCs w:val="20"/>
        </w:rPr>
        <w:t xml:space="preserve">Căn cứ Luật sửa </w:t>
      </w:r>
      <w:r w:rsidR="00E553A8">
        <w:rPr>
          <w:rFonts w:ascii="Arial" w:hAnsi="Arial" w:cs="Arial"/>
          <w:color w:val="000000" w:themeColor="text1"/>
          <w:sz w:val="20"/>
          <w:szCs w:val="20"/>
          <w:lang w:val="en-US"/>
        </w:rPr>
        <w:t>đổi</w:t>
      </w:r>
      <w:r w:rsidRPr="006961D9">
        <w:rPr>
          <w:rFonts w:ascii="Arial" w:hAnsi="Arial" w:cs="Arial"/>
          <w:color w:val="000000" w:themeColor="text1"/>
          <w:sz w:val="20"/>
          <w:szCs w:val="20"/>
        </w:rPr>
        <w:t xml:space="preserve">, bổ sung một </w:t>
      </w:r>
      <w:r w:rsidR="00E553A8">
        <w:rPr>
          <w:rFonts w:ascii="Arial" w:hAnsi="Arial" w:cs="Arial"/>
          <w:color w:val="000000" w:themeColor="text1"/>
          <w:sz w:val="20"/>
          <w:szCs w:val="20"/>
          <w:lang w:val="en-US"/>
        </w:rPr>
        <w:t>số</w:t>
      </w:r>
      <w:r w:rsidRPr="006961D9">
        <w:rPr>
          <w:rFonts w:ascii="Arial" w:hAnsi="Arial" w:cs="Arial"/>
          <w:color w:val="000000" w:themeColor="text1"/>
          <w:sz w:val="20"/>
          <w:szCs w:val="20"/>
        </w:rPr>
        <w:t xml:space="preserve"> điều của L</w:t>
      </w:r>
      <w:r w:rsidR="00E553A8">
        <w:rPr>
          <w:rFonts w:ascii="Arial" w:hAnsi="Arial" w:cs="Arial"/>
          <w:color w:val="000000" w:themeColor="text1"/>
          <w:sz w:val="20"/>
          <w:szCs w:val="20"/>
        </w:rPr>
        <w:t>uật Tổ chức Chính phủ và Luật T</w:t>
      </w:r>
      <w:r w:rsidR="00E553A8">
        <w:rPr>
          <w:rFonts w:ascii="Arial" w:hAnsi="Arial" w:cs="Arial"/>
          <w:color w:val="000000" w:themeColor="text1"/>
          <w:sz w:val="20"/>
          <w:szCs w:val="20"/>
          <w:lang w:val="en-US"/>
        </w:rPr>
        <w:t>ổ</w:t>
      </w:r>
      <w:r w:rsidRPr="006961D9">
        <w:rPr>
          <w:rFonts w:ascii="Arial" w:hAnsi="Arial" w:cs="Arial"/>
          <w:color w:val="000000" w:themeColor="text1"/>
          <w:sz w:val="20"/>
          <w:szCs w:val="20"/>
        </w:rPr>
        <w:t xml:space="preserve"> chức </w:t>
      </w:r>
      <w:r w:rsidR="00E553A8">
        <w:rPr>
          <w:rFonts w:ascii="Arial" w:hAnsi="Arial" w:cs="Arial"/>
          <w:color w:val="000000" w:themeColor="text1"/>
          <w:sz w:val="20"/>
          <w:szCs w:val="20"/>
          <w:lang w:val="en-US"/>
        </w:rPr>
        <w:t>chính</w:t>
      </w:r>
      <w:r w:rsidRPr="006961D9">
        <w:rPr>
          <w:rFonts w:ascii="Arial" w:hAnsi="Arial" w:cs="Arial"/>
          <w:color w:val="000000" w:themeColor="text1"/>
          <w:sz w:val="20"/>
          <w:szCs w:val="20"/>
        </w:rPr>
        <w:t xml:space="preserve"> quyền địa phương ngày 22 tháng 11 năm 2019;</w:t>
      </w:r>
    </w:p>
    <w:p w:rsidR="007F7247" w:rsidRPr="006961D9" w:rsidRDefault="0035508A" w:rsidP="006961D9">
      <w:pPr>
        <w:pStyle w:val="Vnbnnidung30"/>
        <w:spacing w:after="120" w:line="240" w:lineRule="auto"/>
        <w:ind w:firstLine="720"/>
        <w:jc w:val="both"/>
        <w:rPr>
          <w:rFonts w:ascii="Arial" w:hAnsi="Arial" w:cs="Arial"/>
          <w:color w:val="000000" w:themeColor="text1"/>
          <w:sz w:val="20"/>
          <w:szCs w:val="20"/>
        </w:rPr>
      </w:pPr>
      <w:r w:rsidRPr="006961D9">
        <w:rPr>
          <w:rFonts w:ascii="Arial" w:hAnsi="Arial" w:cs="Arial"/>
          <w:color w:val="000000" w:themeColor="text1"/>
          <w:sz w:val="20"/>
          <w:szCs w:val="20"/>
        </w:rPr>
        <w:t>Căn c</w:t>
      </w:r>
      <w:r w:rsidR="00E553A8">
        <w:rPr>
          <w:rFonts w:ascii="Arial" w:hAnsi="Arial" w:cs="Arial"/>
          <w:color w:val="000000" w:themeColor="text1"/>
          <w:sz w:val="20"/>
          <w:szCs w:val="20"/>
        </w:rPr>
        <w:t xml:space="preserve">ứ Luật Điện lực ngày 30 tháng </w:t>
      </w:r>
      <w:r w:rsidR="00E553A8">
        <w:rPr>
          <w:rFonts w:ascii="Arial" w:hAnsi="Arial" w:cs="Arial"/>
          <w:color w:val="000000" w:themeColor="text1"/>
          <w:sz w:val="20"/>
          <w:szCs w:val="20"/>
          <w:lang w:val="en-US"/>
        </w:rPr>
        <w:t>1</w:t>
      </w:r>
      <w:r w:rsidRPr="006961D9">
        <w:rPr>
          <w:rFonts w:ascii="Arial" w:hAnsi="Arial" w:cs="Arial"/>
          <w:color w:val="000000" w:themeColor="text1"/>
          <w:sz w:val="20"/>
          <w:szCs w:val="20"/>
        </w:rPr>
        <w:t>1 năm 2024;</w:t>
      </w:r>
    </w:p>
    <w:p w:rsidR="007F7247" w:rsidRPr="006961D9" w:rsidRDefault="0035508A" w:rsidP="006961D9">
      <w:pPr>
        <w:pStyle w:val="Vnbnnidung30"/>
        <w:spacing w:after="120" w:line="240" w:lineRule="auto"/>
        <w:ind w:firstLine="720"/>
        <w:jc w:val="both"/>
        <w:rPr>
          <w:rFonts w:ascii="Arial" w:hAnsi="Arial" w:cs="Arial"/>
          <w:color w:val="000000" w:themeColor="text1"/>
          <w:sz w:val="20"/>
          <w:szCs w:val="20"/>
        </w:rPr>
      </w:pPr>
      <w:r w:rsidRPr="006961D9">
        <w:rPr>
          <w:rFonts w:ascii="Arial" w:hAnsi="Arial" w:cs="Arial"/>
          <w:color w:val="000000" w:themeColor="text1"/>
          <w:sz w:val="20"/>
          <w:szCs w:val="20"/>
        </w:rPr>
        <w:t xml:space="preserve">Theo </w:t>
      </w:r>
      <w:r w:rsidR="00833B84">
        <w:rPr>
          <w:rFonts w:ascii="Arial" w:hAnsi="Arial" w:cs="Arial"/>
          <w:color w:val="000000" w:themeColor="text1"/>
          <w:sz w:val="20"/>
          <w:szCs w:val="20"/>
          <w:lang w:val="en-US"/>
        </w:rPr>
        <w:t>đề</w:t>
      </w:r>
      <w:r w:rsidRPr="006961D9">
        <w:rPr>
          <w:rFonts w:ascii="Arial" w:hAnsi="Arial" w:cs="Arial"/>
          <w:color w:val="000000" w:themeColor="text1"/>
          <w:sz w:val="20"/>
          <w:szCs w:val="20"/>
        </w:rPr>
        <w:t xml:space="preserve"> nghị của Bộ trưởng Bộ Công Thương;</w:t>
      </w:r>
    </w:p>
    <w:p w:rsidR="007F7247" w:rsidRDefault="0035508A" w:rsidP="00833B84">
      <w:pPr>
        <w:pStyle w:val="Vnbnnidung30"/>
        <w:spacing w:after="0" w:line="240" w:lineRule="auto"/>
        <w:ind w:firstLine="720"/>
        <w:jc w:val="both"/>
        <w:rPr>
          <w:rFonts w:ascii="Arial" w:hAnsi="Arial" w:cs="Arial"/>
          <w:color w:val="000000" w:themeColor="text1"/>
          <w:sz w:val="20"/>
          <w:szCs w:val="20"/>
        </w:rPr>
      </w:pPr>
      <w:r w:rsidRPr="006961D9">
        <w:rPr>
          <w:rFonts w:ascii="Arial" w:hAnsi="Arial" w:cs="Arial"/>
          <w:color w:val="000000" w:themeColor="text1"/>
          <w:sz w:val="20"/>
          <w:szCs w:val="20"/>
        </w:rPr>
        <w:t xml:space="preserve">Chính phủ ban hành Nghị định quy định chi tiết một </w:t>
      </w:r>
      <w:r w:rsidR="00833B84">
        <w:rPr>
          <w:rFonts w:ascii="Arial" w:hAnsi="Arial" w:cs="Arial"/>
          <w:color w:val="000000" w:themeColor="text1"/>
          <w:sz w:val="20"/>
          <w:szCs w:val="20"/>
          <w:lang w:val="en-US"/>
        </w:rPr>
        <w:t>số điều của</w:t>
      </w:r>
      <w:r w:rsidRPr="006961D9">
        <w:rPr>
          <w:rFonts w:ascii="Arial" w:hAnsi="Arial" w:cs="Arial"/>
          <w:color w:val="000000" w:themeColor="text1"/>
          <w:sz w:val="20"/>
          <w:szCs w:val="20"/>
        </w:rPr>
        <w:t xml:space="preserve"> Luật Điện lực liên quan đến ho</w:t>
      </w:r>
      <w:r w:rsidR="00833B84">
        <w:rPr>
          <w:rFonts w:ascii="Arial" w:hAnsi="Arial" w:cs="Arial"/>
          <w:color w:val="000000" w:themeColor="text1"/>
          <w:sz w:val="20"/>
          <w:szCs w:val="20"/>
        </w:rPr>
        <w:t>ạt động mua bán điện và tình hu</w:t>
      </w:r>
      <w:r w:rsidR="00833B84">
        <w:rPr>
          <w:rFonts w:ascii="Arial" w:hAnsi="Arial" w:cs="Arial"/>
          <w:color w:val="000000" w:themeColor="text1"/>
          <w:sz w:val="20"/>
          <w:szCs w:val="20"/>
          <w:lang w:val="en-US"/>
        </w:rPr>
        <w:t>ố</w:t>
      </w:r>
      <w:r w:rsidR="00833B84">
        <w:rPr>
          <w:rFonts w:ascii="Arial" w:hAnsi="Arial" w:cs="Arial"/>
          <w:color w:val="000000" w:themeColor="text1"/>
          <w:sz w:val="20"/>
          <w:szCs w:val="20"/>
        </w:rPr>
        <w:t>ng bảo đảm cung c</w:t>
      </w:r>
      <w:r w:rsidR="00833B84">
        <w:rPr>
          <w:rFonts w:ascii="Arial" w:hAnsi="Arial" w:cs="Arial"/>
          <w:color w:val="000000" w:themeColor="text1"/>
          <w:sz w:val="20"/>
          <w:szCs w:val="20"/>
          <w:lang w:val="en-US"/>
        </w:rPr>
        <w:t>ấ</w:t>
      </w:r>
      <w:r w:rsidRPr="006961D9">
        <w:rPr>
          <w:rFonts w:ascii="Arial" w:hAnsi="Arial" w:cs="Arial"/>
          <w:color w:val="000000" w:themeColor="text1"/>
          <w:sz w:val="20"/>
          <w:szCs w:val="20"/>
        </w:rPr>
        <w:t>p điện.</w:t>
      </w:r>
    </w:p>
    <w:p w:rsidR="00833B84" w:rsidRPr="006961D9" w:rsidRDefault="00833B84" w:rsidP="00833B84">
      <w:pPr>
        <w:pStyle w:val="Vnbnnidung30"/>
        <w:spacing w:after="0" w:line="240" w:lineRule="auto"/>
        <w:ind w:firstLine="720"/>
        <w:jc w:val="both"/>
        <w:rPr>
          <w:rFonts w:ascii="Arial" w:hAnsi="Arial" w:cs="Arial"/>
          <w:color w:val="000000" w:themeColor="text1"/>
          <w:sz w:val="20"/>
          <w:szCs w:val="20"/>
        </w:rPr>
      </w:pPr>
    </w:p>
    <w:p w:rsidR="00833B84" w:rsidRDefault="00833B84" w:rsidP="00833B84">
      <w:pPr>
        <w:pStyle w:val="Vnbnnidung0"/>
        <w:spacing w:after="0" w:line="240" w:lineRule="auto"/>
        <w:ind w:firstLine="0"/>
        <w:jc w:val="center"/>
        <w:rPr>
          <w:rFonts w:ascii="Arial" w:hAnsi="Arial" w:cs="Arial"/>
          <w:b/>
          <w:bCs/>
          <w:color w:val="000000" w:themeColor="text1"/>
          <w:sz w:val="20"/>
          <w:szCs w:val="20"/>
        </w:rPr>
      </w:pPr>
      <w:r>
        <w:rPr>
          <w:rFonts w:ascii="Arial" w:hAnsi="Arial" w:cs="Arial"/>
          <w:b/>
          <w:bCs/>
          <w:color w:val="000000" w:themeColor="text1"/>
          <w:sz w:val="20"/>
          <w:szCs w:val="20"/>
        </w:rPr>
        <w:t>Chương I</w:t>
      </w:r>
    </w:p>
    <w:p w:rsidR="007F7247" w:rsidRDefault="0035508A" w:rsidP="00833B84">
      <w:pPr>
        <w:pStyle w:val="Vnbnnidung0"/>
        <w:spacing w:after="0" w:line="240" w:lineRule="auto"/>
        <w:ind w:firstLine="0"/>
        <w:jc w:val="center"/>
        <w:rPr>
          <w:rFonts w:ascii="Arial" w:hAnsi="Arial" w:cs="Arial"/>
          <w:b/>
          <w:bCs/>
          <w:color w:val="000000" w:themeColor="text1"/>
          <w:sz w:val="20"/>
          <w:szCs w:val="20"/>
        </w:rPr>
      </w:pPr>
      <w:r w:rsidRPr="006961D9">
        <w:rPr>
          <w:rFonts w:ascii="Arial" w:hAnsi="Arial" w:cs="Arial"/>
          <w:b/>
          <w:bCs/>
          <w:color w:val="000000" w:themeColor="text1"/>
          <w:sz w:val="20"/>
          <w:szCs w:val="20"/>
        </w:rPr>
        <w:t>QUY ĐỊNH CHUNG</w:t>
      </w:r>
    </w:p>
    <w:p w:rsidR="00833B84" w:rsidRPr="006961D9" w:rsidRDefault="00833B84" w:rsidP="00833B84">
      <w:pPr>
        <w:pStyle w:val="Vnbnnidung0"/>
        <w:spacing w:after="0" w:line="240" w:lineRule="auto"/>
        <w:ind w:firstLine="0"/>
        <w:jc w:val="center"/>
        <w:rPr>
          <w:rFonts w:ascii="Arial" w:hAnsi="Arial" w:cs="Arial"/>
          <w:color w:val="000000" w:themeColor="text1"/>
          <w:sz w:val="20"/>
          <w:szCs w:val="20"/>
        </w:rPr>
      </w:pPr>
    </w:p>
    <w:p w:rsidR="007F7247" w:rsidRPr="006961D9" w:rsidRDefault="0035508A" w:rsidP="006961D9">
      <w:pPr>
        <w:pStyle w:val="Vnbnnidung0"/>
        <w:spacing w:line="240" w:lineRule="auto"/>
        <w:ind w:firstLine="720"/>
        <w:jc w:val="both"/>
        <w:rPr>
          <w:rFonts w:ascii="Arial" w:hAnsi="Arial" w:cs="Arial"/>
          <w:color w:val="000000" w:themeColor="text1"/>
          <w:sz w:val="20"/>
          <w:szCs w:val="20"/>
        </w:rPr>
      </w:pPr>
      <w:r w:rsidRPr="006961D9">
        <w:rPr>
          <w:rFonts w:ascii="Arial" w:hAnsi="Arial" w:cs="Arial"/>
          <w:b/>
          <w:bCs/>
          <w:color w:val="000000" w:themeColor="text1"/>
          <w:sz w:val="20"/>
          <w:szCs w:val="20"/>
        </w:rPr>
        <w:t>Điều 1. Phạm vi điều chỉnh</w:t>
      </w:r>
    </w:p>
    <w:p w:rsidR="009F67F1" w:rsidRDefault="0035508A" w:rsidP="009F67F1">
      <w:pPr>
        <w:pStyle w:val="Vnbnnidung0"/>
        <w:spacing w:line="240" w:lineRule="auto"/>
        <w:ind w:firstLine="720"/>
        <w:jc w:val="both"/>
        <w:rPr>
          <w:rFonts w:ascii="Arial" w:hAnsi="Arial" w:cs="Arial"/>
          <w:color w:val="000000" w:themeColor="text1"/>
          <w:sz w:val="20"/>
          <w:szCs w:val="20"/>
        </w:rPr>
      </w:pPr>
      <w:r w:rsidRPr="006961D9">
        <w:rPr>
          <w:rFonts w:ascii="Arial" w:hAnsi="Arial" w:cs="Arial"/>
          <w:color w:val="000000" w:themeColor="text1"/>
          <w:sz w:val="20"/>
          <w:szCs w:val="20"/>
        </w:rPr>
        <w:t>Nghị định này quy định chi tiết một số điều của Luật Điện lực, bao gồm:</w:t>
      </w:r>
      <w:bookmarkStart w:id="0" w:name="bookmark0"/>
      <w:bookmarkEnd w:id="0"/>
    </w:p>
    <w:p w:rsidR="00AE61F7" w:rsidRDefault="009F67F1" w:rsidP="00AE61F7">
      <w:pPr>
        <w:pStyle w:val="Vnbnnidung0"/>
        <w:spacing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1. </w:t>
      </w:r>
      <w:r w:rsidR="0035508A" w:rsidRPr="006961D9">
        <w:rPr>
          <w:rFonts w:ascii="Arial" w:hAnsi="Arial" w:cs="Arial"/>
          <w:color w:val="000000" w:themeColor="text1"/>
          <w:sz w:val="20"/>
          <w:szCs w:val="20"/>
        </w:rPr>
        <w:t xml:space="preserve">Khoản 6 Điều 44 về biện pháp bảo đảm, chất lượng điện năng của Bên mua điện trong Hợp đồng mua bán điện phục vụ mục đích ngoài sinh hoạt; điều kiện giao kết </w:t>
      </w:r>
      <w:r w:rsidR="00032485">
        <w:rPr>
          <w:rFonts w:ascii="Arial" w:hAnsi="Arial" w:cs="Arial"/>
          <w:color w:val="000000" w:themeColor="text1"/>
          <w:sz w:val="20"/>
          <w:szCs w:val="20"/>
        </w:rPr>
        <w:t>hợp đồng</w:t>
      </w:r>
      <w:r w:rsidR="0035508A" w:rsidRPr="006961D9">
        <w:rPr>
          <w:rFonts w:ascii="Arial" w:hAnsi="Arial" w:cs="Arial"/>
          <w:color w:val="000000" w:themeColor="text1"/>
          <w:sz w:val="20"/>
          <w:szCs w:val="20"/>
        </w:rPr>
        <w:t xml:space="preserve"> mua bán điện phục vụ mục đích sinh hoạt.</w:t>
      </w:r>
      <w:bookmarkStart w:id="1" w:name="bookmark1"/>
      <w:bookmarkEnd w:id="1"/>
    </w:p>
    <w:p w:rsidR="00AE61F7" w:rsidRDefault="00AE61F7" w:rsidP="00AE61F7">
      <w:pPr>
        <w:pStyle w:val="Vnbnnidung0"/>
        <w:spacing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2. </w:t>
      </w:r>
      <w:r w:rsidR="0035508A" w:rsidRPr="006961D9">
        <w:rPr>
          <w:rFonts w:ascii="Arial" w:hAnsi="Arial" w:cs="Arial"/>
          <w:color w:val="000000" w:themeColor="text1"/>
          <w:sz w:val="20"/>
          <w:szCs w:val="20"/>
        </w:rPr>
        <w:t>Khoản 7 Điều 48 về ghi chỉ số đo điện năng.</w:t>
      </w:r>
      <w:bookmarkStart w:id="2" w:name="bookmark2"/>
      <w:bookmarkEnd w:id="2"/>
    </w:p>
    <w:p w:rsidR="007F7247" w:rsidRPr="006961D9" w:rsidRDefault="00AE61F7" w:rsidP="00AE61F7">
      <w:pPr>
        <w:pStyle w:val="Vnbnnidung0"/>
        <w:spacing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3. </w:t>
      </w:r>
      <w:r w:rsidR="0035508A" w:rsidRPr="006961D9">
        <w:rPr>
          <w:rFonts w:ascii="Arial" w:hAnsi="Arial" w:cs="Arial"/>
          <w:color w:val="000000" w:themeColor="text1"/>
          <w:sz w:val="20"/>
          <w:szCs w:val="20"/>
        </w:rPr>
        <w:t>Khoản 5 Điều 53 về các tình huống cấp bách đe dọa nghiêm trọng đến khả năng bảo đảm cung cấp điện.</w:t>
      </w:r>
    </w:p>
    <w:p w:rsidR="007F7247" w:rsidRPr="006961D9" w:rsidRDefault="0035508A" w:rsidP="006961D9">
      <w:pPr>
        <w:pStyle w:val="Vnbnnidung0"/>
        <w:spacing w:line="240" w:lineRule="auto"/>
        <w:ind w:firstLine="720"/>
        <w:jc w:val="both"/>
        <w:rPr>
          <w:rFonts w:ascii="Arial" w:hAnsi="Arial" w:cs="Arial"/>
          <w:color w:val="000000" w:themeColor="text1"/>
          <w:sz w:val="20"/>
          <w:szCs w:val="20"/>
        </w:rPr>
      </w:pPr>
      <w:r w:rsidRPr="006961D9">
        <w:rPr>
          <w:rFonts w:ascii="Arial" w:hAnsi="Arial" w:cs="Arial"/>
          <w:b/>
          <w:bCs/>
          <w:color w:val="000000" w:themeColor="text1"/>
          <w:sz w:val="20"/>
          <w:szCs w:val="20"/>
        </w:rPr>
        <w:t>Điều 2. Đối tượng áp dụng</w:t>
      </w:r>
    </w:p>
    <w:p w:rsidR="007F7247" w:rsidRDefault="0035508A" w:rsidP="007107C5">
      <w:pPr>
        <w:pStyle w:val="Vnbnnidung0"/>
        <w:spacing w:after="0" w:line="240" w:lineRule="auto"/>
        <w:ind w:firstLine="720"/>
        <w:jc w:val="both"/>
        <w:rPr>
          <w:rFonts w:ascii="Arial" w:hAnsi="Arial" w:cs="Arial"/>
          <w:color w:val="000000" w:themeColor="text1"/>
          <w:sz w:val="20"/>
          <w:szCs w:val="20"/>
        </w:rPr>
      </w:pPr>
      <w:r w:rsidRPr="006961D9">
        <w:rPr>
          <w:rFonts w:ascii="Arial" w:hAnsi="Arial" w:cs="Arial"/>
          <w:color w:val="000000" w:themeColor="text1"/>
          <w:sz w:val="20"/>
          <w:szCs w:val="20"/>
        </w:rPr>
        <w:t>Nghị định</w:t>
      </w:r>
      <w:r w:rsidR="007107C5">
        <w:rPr>
          <w:rFonts w:ascii="Arial" w:hAnsi="Arial" w:cs="Arial"/>
          <w:color w:val="000000" w:themeColor="text1"/>
          <w:sz w:val="20"/>
          <w:szCs w:val="20"/>
        </w:rPr>
        <w:t xml:space="preserve"> này áp dụng đối với cơ quan, t</w:t>
      </w:r>
      <w:r w:rsidR="007107C5">
        <w:rPr>
          <w:rFonts w:ascii="Arial" w:hAnsi="Arial" w:cs="Arial"/>
          <w:color w:val="000000" w:themeColor="text1"/>
          <w:sz w:val="20"/>
          <w:szCs w:val="20"/>
          <w:lang w:val="en-US"/>
        </w:rPr>
        <w:t>ổ</w:t>
      </w:r>
      <w:r w:rsidRPr="006961D9">
        <w:rPr>
          <w:rFonts w:ascii="Arial" w:hAnsi="Arial" w:cs="Arial"/>
          <w:color w:val="000000" w:themeColor="text1"/>
          <w:sz w:val="20"/>
          <w:szCs w:val="20"/>
        </w:rPr>
        <w:t xml:space="preserve"> chức, cá nhân thực hiện hoạt động điện lực, sử dụng điện tại Việt Nam.</w:t>
      </w:r>
    </w:p>
    <w:p w:rsidR="007107C5" w:rsidRPr="006961D9" w:rsidRDefault="007107C5" w:rsidP="007107C5">
      <w:pPr>
        <w:pStyle w:val="Vnbnnidung0"/>
        <w:spacing w:after="0" w:line="240" w:lineRule="auto"/>
        <w:ind w:firstLine="0"/>
        <w:jc w:val="center"/>
        <w:rPr>
          <w:rFonts w:ascii="Arial" w:hAnsi="Arial" w:cs="Arial"/>
          <w:color w:val="000000" w:themeColor="text1"/>
          <w:sz w:val="20"/>
          <w:szCs w:val="20"/>
        </w:rPr>
      </w:pPr>
    </w:p>
    <w:p w:rsidR="007F7247" w:rsidRPr="006961D9" w:rsidRDefault="0035508A" w:rsidP="007107C5">
      <w:pPr>
        <w:pStyle w:val="Vnbnnidung0"/>
        <w:spacing w:after="0" w:line="240" w:lineRule="auto"/>
        <w:ind w:firstLine="0"/>
        <w:jc w:val="center"/>
        <w:rPr>
          <w:rFonts w:ascii="Arial" w:hAnsi="Arial" w:cs="Arial"/>
          <w:color w:val="000000" w:themeColor="text1"/>
          <w:sz w:val="20"/>
          <w:szCs w:val="20"/>
        </w:rPr>
      </w:pPr>
      <w:r w:rsidRPr="006961D9">
        <w:rPr>
          <w:rFonts w:ascii="Arial" w:hAnsi="Arial" w:cs="Arial"/>
          <w:b/>
          <w:bCs/>
          <w:color w:val="000000" w:themeColor="text1"/>
          <w:sz w:val="20"/>
          <w:szCs w:val="20"/>
        </w:rPr>
        <w:t>Chương II</w:t>
      </w:r>
    </w:p>
    <w:p w:rsidR="007107C5" w:rsidRDefault="0035508A" w:rsidP="007107C5">
      <w:pPr>
        <w:pStyle w:val="Vnbnnidung0"/>
        <w:spacing w:after="0" w:line="240" w:lineRule="auto"/>
        <w:ind w:firstLine="0"/>
        <w:jc w:val="center"/>
        <w:rPr>
          <w:rFonts w:ascii="Arial" w:hAnsi="Arial" w:cs="Arial"/>
          <w:b/>
          <w:bCs/>
          <w:color w:val="000000" w:themeColor="text1"/>
          <w:sz w:val="20"/>
          <w:szCs w:val="20"/>
        </w:rPr>
      </w:pPr>
      <w:r w:rsidRPr="006961D9">
        <w:rPr>
          <w:rFonts w:ascii="Arial" w:hAnsi="Arial" w:cs="Arial"/>
          <w:b/>
          <w:bCs/>
          <w:color w:val="000000" w:themeColor="text1"/>
          <w:sz w:val="20"/>
          <w:szCs w:val="20"/>
        </w:rPr>
        <w:t xml:space="preserve">BIỆN PHÁP BẢO ĐẢM, </w:t>
      </w:r>
      <w:r w:rsidR="007107C5">
        <w:rPr>
          <w:rFonts w:ascii="Arial" w:hAnsi="Arial" w:cs="Arial"/>
          <w:b/>
          <w:bCs/>
          <w:color w:val="000000" w:themeColor="text1"/>
          <w:sz w:val="20"/>
          <w:szCs w:val="20"/>
        </w:rPr>
        <w:t xml:space="preserve">CHẤT LƯỢNG ĐIỆN NĂNG, </w:t>
      </w:r>
      <w:r w:rsidR="007107C5">
        <w:rPr>
          <w:rFonts w:ascii="Arial" w:hAnsi="Arial" w:cs="Arial"/>
          <w:b/>
          <w:bCs/>
          <w:color w:val="000000" w:themeColor="text1"/>
          <w:sz w:val="20"/>
          <w:szCs w:val="20"/>
          <w:lang w:val="en-US"/>
        </w:rPr>
        <w:t>ĐIỀU</w:t>
      </w:r>
      <w:r w:rsidR="007107C5">
        <w:rPr>
          <w:rFonts w:ascii="Arial" w:hAnsi="Arial" w:cs="Arial"/>
          <w:b/>
          <w:bCs/>
          <w:color w:val="000000" w:themeColor="text1"/>
          <w:sz w:val="20"/>
          <w:szCs w:val="20"/>
        </w:rPr>
        <w:t xml:space="preserve"> KIỆN</w:t>
      </w:r>
    </w:p>
    <w:p w:rsidR="007107C5" w:rsidRDefault="007107C5" w:rsidP="007107C5">
      <w:pPr>
        <w:pStyle w:val="Vnbnnidung0"/>
        <w:spacing w:after="0" w:line="240" w:lineRule="auto"/>
        <w:ind w:firstLine="0"/>
        <w:jc w:val="center"/>
        <w:rPr>
          <w:rFonts w:ascii="Arial" w:hAnsi="Arial" w:cs="Arial"/>
          <w:b/>
          <w:bCs/>
          <w:color w:val="000000" w:themeColor="text1"/>
          <w:sz w:val="20"/>
          <w:szCs w:val="20"/>
        </w:rPr>
      </w:pPr>
      <w:r>
        <w:rPr>
          <w:rFonts w:ascii="Arial" w:hAnsi="Arial" w:cs="Arial"/>
          <w:b/>
          <w:bCs/>
          <w:color w:val="000000" w:themeColor="text1"/>
          <w:sz w:val="20"/>
          <w:szCs w:val="20"/>
        </w:rPr>
        <w:t>GIAO K</w:t>
      </w:r>
      <w:r>
        <w:rPr>
          <w:rFonts w:ascii="Arial" w:hAnsi="Arial" w:cs="Arial"/>
          <w:b/>
          <w:bCs/>
          <w:color w:val="000000" w:themeColor="text1"/>
          <w:sz w:val="20"/>
          <w:szCs w:val="20"/>
          <w:lang w:val="en-US"/>
        </w:rPr>
        <w:t>Ế</w:t>
      </w:r>
      <w:r>
        <w:rPr>
          <w:rFonts w:ascii="Arial" w:hAnsi="Arial" w:cs="Arial"/>
          <w:b/>
          <w:bCs/>
          <w:color w:val="000000" w:themeColor="text1"/>
          <w:sz w:val="20"/>
          <w:szCs w:val="20"/>
        </w:rPr>
        <w:t>T HỢP Đ</w:t>
      </w:r>
      <w:r>
        <w:rPr>
          <w:rFonts w:ascii="Arial" w:hAnsi="Arial" w:cs="Arial"/>
          <w:b/>
          <w:bCs/>
          <w:color w:val="000000" w:themeColor="text1"/>
          <w:sz w:val="20"/>
          <w:szCs w:val="20"/>
          <w:lang w:val="en-US"/>
        </w:rPr>
        <w:t>Ồ</w:t>
      </w:r>
      <w:r w:rsidR="0035508A" w:rsidRPr="006961D9">
        <w:rPr>
          <w:rFonts w:ascii="Arial" w:hAnsi="Arial" w:cs="Arial"/>
          <w:b/>
          <w:bCs/>
          <w:color w:val="000000" w:themeColor="text1"/>
          <w:sz w:val="20"/>
          <w:szCs w:val="20"/>
        </w:rPr>
        <w:t>N</w:t>
      </w:r>
      <w:r>
        <w:rPr>
          <w:rFonts w:ascii="Arial" w:hAnsi="Arial" w:cs="Arial"/>
          <w:b/>
          <w:bCs/>
          <w:color w:val="000000" w:themeColor="text1"/>
          <w:sz w:val="20"/>
          <w:szCs w:val="20"/>
        </w:rPr>
        <w:t>G MUA BÁN ĐIỆN PHỤC VỤ MỤC ĐÍCH</w:t>
      </w:r>
    </w:p>
    <w:p w:rsidR="007F7247" w:rsidRDefault="0035508A" w:rsidP="007107C5">
      <w:pPr>
        <w:pStyle w:val="Vnbnnidung0"/>
        <w:spacing w:after="0" w:line="240" w:lineRule="auto"/>
        <w:ind w:firstLine="0"/>
        <w:jc w:val="center"/>
        <w:rPr>
          <w:rFonts w:ascii="Arial" w:hAnsi="Arial" w:cs="Arial"/>
          <w:b/>
          <w:bCs/>
          <w:color w:val="000000" w:themeColor="text1"/>
          <w:sz w:val="20"/>
          <w:szCs w:val="20"/>
        </w:rPr>
      </w:pPr>
      <w:r w:rsidRPr="006961D9">
        <w:rPr>
          <w:rFonts w:ascii="Arial" w:hAnsi="Arial" w:cs="Arial"/>
          <w:b/>
          <w:bCs/>
          <w:color w:val="000000" w:themeColor="text1"/>
          <w:sz w:val="20"/>
          <w:szCs w:val="20"/>
        </w:rPr>
        <w:t>SINH HOẠT, GHI CHỈ SỐ ĐO ĐIỆN NĂNG</w:t>
      </w:r>
    </w:p>
    <w:p w:rsidR="007107C5" w:rsidRPr="006961D9" w:rsidRDefault="007107C5" w:rsidP="007107C5">
      <w:pPr>
        <w:pStyle w:val="Vnbnnidung0"/>
        <w:spacing w:after="0" w:line="240" w:lineRule="auto"/>
        <w:ind w:firstLine="0"/>
        <w:jc w:val="center"/>
        <w:rPr>
          <w:rFonts w:ascii="Arial" w:hAnsi="Arial" w:cs="Arial"/>
          <w:color w:val="000000" w:themeColor="text1"/>
          <w:sz w:val="20"/>
          <w:szCs w:val="20"/>
        </w:rPr>
      </w:pPr>
    </w:p>
    <w:p w:rsidR="007107C5" w:rsidRDefault="007107C5" w:rsidP="007107C5">
      <w:pPr>
        <w:pStyle w:val="Vnbnnidung0"/>
        <w:spacing w:line="240" w:lineRule="auto"/>
        <w:ind w:firstLine="720"/>
        <w:jc w:val="both"/>
        <w:rPr>
          <w:rFonts w:ascii="Arial" w:hAnsi="Arial" w:cs="Arial"/>
          <w:color w:val="000000" w:themeColor="text1"/>
          <w:sz w:val="20"/>
          <w:szCs w:val="20"/>
        </w:rPr>
      </w:pPr>
      <w:r>
        <w:rPr>
          <w:rFonts w:ascii="Arial" w:hAnsi="Arial" w:cs="Arial"/>
          <w:b/>
          <w:bCs/>
          <w:color w:val="000000" w:themeColor="text1"/>
          <w:sz w:val="20"/>
          <w:szCs w:val="20"/>
          <w:lang w:val="en-US"/>
        </w:rPr>
        <w:t>Đ</w:t>
      </w:r>
      <w:r w:rsidR="0035508A" w:rsidRPr="006961D9">
        <w:rPr>
          <w:rFonts w:ascii="Arial" w:hAnsi="Arial" w:cs="Arial"/>
          <w:b/>
          <w:bCs/>
          <w:color w:val="000000" w:themeColor="text1"/>
          <w:sz w:val="20"/>
          <w:szCs w:val="20"/>
        </w:rPr>
        <w:t>iều 3. Bảo đảm thực hiện hợp đồng mua bán điện</w:t>
      </w:r>
      <w:bookmarkStart w:id="3" w:name="bookmark3"/>
      <w:bookmarkEnd w:id="3"/>
    </w:p>
    <w:p w:rsidR="00DD2772" w:rsidRDefault="007107C5" w:rsidP="00DD2772">
      <w:pPr>
        <w:pStyle w:val="Vnbnnidung0"/>
        <w:spacing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1. </w:t>
      </w:r>
      <w:r w:rsidR="0035508A" w:rsidRPr="006961D9">
        <w:rPr>
          <w:rFonts w:ascii="Arial" w:hAnsi="Arial" w:cs="Arial"/>
          <w:color w:val="000000" w:themeColor="text1"/>
          <w:sz w:val="20"/>
          <w:szCs w:val="20"/>
        </w:rPr>
        <w:t xml:space="preserve">Bên mua điện là khách hàng sử dụng điện có sản lượng điện tiêu thụ bình quân từ 1.000.000 kWh/tháng trở lên theo đăng ký tại hợp đồng mua bán điện có trách nhiệm thực hiện biện pháp bảo đảm thực hiện hợp đồng trước khi hợp đồng mua bán điện có hiệu lực. Trường hợp sản lượng điện tiêu thụ bình quân đăng ký tại hợp đồng mua bán điện thấp </w:t>
      </w:r>
      <w:r w:rsidR="009D7635">
        <w:rPr>
          <w:rFonts w:ascii="Arial" w:hAnsi="Arial" w:cs="Arial"/>
          <w:color w:val="000000" w:themeColor="text1"/>
          <w:sz w:val="20"/>
          <w:szCs w:val="20"/>
          <w:lang w:val="en-US"/>
        </w:rPr>
        <w:t>hơn</w:t>
      </w:r>
      <w:r w:rsidR="0035508A" w:rsidRPr="006961D9">
        <w:rPr>
          <w:rFonts w:ascii="Arial" w:hAnsi="Arial" w:cs="Arial"/>
          <w:color w:val="000000" w:themeColor="text1"/>
          <w:sz w:val="20"/>
          <w:szCs w:val="20"/>
        </w:rPr>
        <w:t xml:space="preserve"> mức này, nhưng sản lượng điện tiêu thụ thực tế bình quân 12 tháng gần nhất từ 1.000.000 kWh/tháng trở lên, bên mua điện có trách nhiệm phối hợp với bên bán điện sửa </w:t>
      </w:r>
      <w:r w:rsidR="009D7635">
        <w:rPr>
          <w:rFonts w:ascii="Arial" w:hAnsi="Arial" w:cs="Arial"/>
          <w:color w:val="000000" w:themeColor="text1"/>
          <w:sz w:val="20"/>
          <w:szCs w:val="20"/>
          <w:lang w:val="en-US"/>
        </w:rPr>
        <w:t>đổi</w:t>
      </w:r>
      <w:r w:rsidR="0035508A" w:rsidRPr="006961D9">
        <w:rPr>
          <w:rFonts w:ascii="Arial" w:hAnsi="Arial" w:cs="Arial"/>
          <w:color w:val="000000" w:themeColor="text1"/>
          <w:sz w:val="20"/>
          <w:szCs w:val="20"/>
        </w:rPr>
        <w:t xml:space="preserve">, bổ sung hợp đồng mua bán điện đã ký để bổ sung nội dung về bảo đảm thực hiện hợp đồng và thực hiện biện pháp bảo đảm thực hiện hợp đồng trước khi hợp đồng sửa </w:t>
      </w:r>
      <w:r w:rsidR="009D7635">
        <w:rPr>
          <w:rFonts w:ascii="Arial" w:hAnsi="Arial" w:cs="Arial"/>
          <w:color w:val="000000" w:themeColor="text1"/>
          <w:sz w:val="20"/>
          <w:szCs w:val="20"/>
          <w:lang w:val="en-US"/>
        </w:rPr>
        <w:t>đổi</w:t>
      </w:r>
      <w:r w:rsidR="0035508A" w:rsidRPr="006961D9">
        <w:rPr>
          <w:rFonts w:ascii="Arial" w:hAnsi="Arial" w:cs="Arial"/>
          <w:color w:val="000000" w:themeColor="text1"/>
          <w:sz w:val="20"/>
          <w:szCs w:val="20"/>
        </w:rPr>
        <w:t xml:space="preserve">, </w:t>
      </w:r>
      <w:r w:rsidR="009D7635">
        <w:rPr>
          <w:rFonts w:ascii="Arial" w:hAnsi="Arial" w:cs="Arial"/>
          <w:color w:val="000000" w:themeColor="text1"/>
          <w:sz w:val="20"/>
          <w:szCs w:val="20"/>
          <w:lang w:val="en-US"/>
        </w:rPr>
        <w:t>bổ</w:t>
      </w:r>
      <w:r w:rsidR="0035508A" w:rsidRPr="006961D9">
        <w:rPr>
          <w:rFonts w:ascii="Arial" w:hAnsi="Arial" w:cs="Arial"/>
          <w:color w:val="000000" w:themeColor="text1"/>
          <w:sz w:val="20"/>
          <w:szCs w:val="20"/>
        </w:rPr>
        <w:t xml:space="preserve"> sung có hiệu lực. Hằng năm, bên bán điện và bên mua điện thỏa thuận giá trị thực hiện bảo đảm hợp đồng phù hợp với sản lượng điện bình quân </w:t>
      </w:r>
      <w:r w:rsidR="009D7635">
        <w:rPr>
          <w:rFonts w:ascii="Arial" w:hAnsi="Arial" w:cs="Arial"/>
          <w:color w:val="000000" w:themeColor="text1"/>
          <w:sz w:val="20"/>
          <w:szCs w:val="20"/>
          <w:lang w:val="en-US"/>
        </w:rPr>
        <w:t>sử</w:t>
      </w:r>
      <w:r w:rsidR="0035508A" w:rsidRPr="006961D9">
        <w:rPr>
          <w:rFonts w:ascii="Arial" w:hAnsi="Arial" w:cs="Arial"/>
          <w:color w:val="000000" w:themeColor="text1"/>
          <w:sz w:val="20"/>
          <w:szCs w:val="20"/>
        </w:rPr>
        <w:t xml:space="preserve"> dụng thực tế trong 12 tháng trước liền kề.</w:t>
      </w:r>
      <w:bookmarkStart w:id="4" w:name="bookmark4"/>
      <w:bookmarkEnd w:id="4"/>
    </w:p>
    <w:p w:rsidR="00C55DF1" w:rsidRDefault="00DD2772" w:rsidP="00C55DF1">
      <w:pPr>
        <w:pStyle w:val="Vnbnnidung0"/>
        <w:spacing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2. </w:t>
      </w:r>
      <w:r w:rsidR="0035508A" w:rsidRPr="006961D9">
        <w:rPr>
          <w:rFonts w:ascii="Arial" w:hAnsi="Arial" w:cs="Arial"/>
          <w:color w:val="000000" w:themeColor="text1"/>
          <w:sz w:val="20"/>
          <w:szCs w:val="20"/>
        </w:rPr>
        <w:t>Giá trị bảo đảm thực hiện hợp đồng do các bên mua điện và bên bán điện thỏa thuận trong phạm vi dải giá trị từ 10 đến 15 ngày tiền điện, được tính trên cơ sở sản lượng điện tiêu thụ bình quân tháng đăng ký trong hợp đồng mua bán điện hoặc sản lượng điện tiêu thụ thực tế bình quân 12 tháng gần nhất và giá đ</w:t>
      </w:r>
      <w:bookmarkStart w:id="5" w:name="_GoBack"/>
      <w:bookmarkEnd w:id="5"/>
      <w:r w:rsidR="0035508A" w:rsidRPr="006961D9">
        <w:rPr>
          <w:rFonts w:ascii="Arial" w:hAnsi="Arial" w:cs="Arial"/>
          <w:color w:val="000000" w:themeColor="text1"/>
          <w:sz w:val="20"/>
          <w:szCs w:val="20"/>
        </w:rPr>
        <w:t>iện năng giờ bình thường được áp dụng.</w:t>
      </w:r>
      <w:bookmarkStart w:id="6" w:name="bookmark5"/>
      <w:bookmarkEnd w:id="6"/>
    </w:p>
    <w:p w:rsidR="008A5604" w:rsidRDefault="00C55DF1" w:rsidP="008A5604">
      <w:pPr>
        <w:pStyle w:val="Vnbnnidung0"/>
        <w:spacing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lastRenderedPageBreak/>
        <w:t xml:space="preserve">3. </w:t>
      </w:r>
      <w:r w:rsidR="0035508A" w:rsidRPr="006961D9">
        <w:rPr>
          <w:rFonts w:ascii="Arial" w:hAnsi="Arial" w:cs="Arial"/>
          <w:color w:val="000000" w:themeColor="text1"/>
          <w:sz w:val="20"/>
          <w:szCs w:val="20"/>
        </w:rPr>
        <w:t>Biện pháp, hình thức, hiệu lực bảo đảm, quyền và nghĩa vụ trong việc bảo đảm hợp đồng do các bên thỏa thuận cụ thể trong hợp đồng mua bán điện; khuyến khích</w:t>
      </w:r>
      <w:r w:rsidR="00C34B3B">
        <w:rPr>
          <w:rFonts w:ascii="Arial" w:hAnsi="Arial" w:cs="Arial"/>
          <w:color w:val="000000" w:themeColor="text1"/>
          <w:sz w:val="20"/>
          <w:szCs w:val="20"/>
        </w:rPr>
        <w:t xml:space="preserve"> việc thực hiện biện pháp bảo l</w:t>
      </w:r>
      <w:r w:rsidR="00C34B3B">
        <w:rPr>
          <w:rFonts w:ascii="Arial" w:hAnsi="Arial" w:cs="Arial"/>
          <w:color w:val="000000" w:themeColor="text1"/>
          <w:sz w:val="20"/>
          <w:szCs w:val="20"/>
          <w:lang w:val="en-US"/>
        </w:rPr>
        <w:t>ã</w:t>
      </w:r>
      <w:r w:rsidR="0035508A" w:rsidRPr="006961D9">
        <w:rPr>
          <w:rFonts w:ascii="Arial" w:hAnsi="Arial" w:cs="Arial"/>
          <w:color w:val="000000" w:themeColor="text1"/>
          <w:sz w:val="20"/>
          <w:szCs w:val="20"/>
        </w:rPr>
        <w:t>nh qua ngân hàng.</w:t>
      </w:r>
      <w:bookmarkStart w:id="7" w:name="bookmark6"/>
      <w:bookmarkEnd w:id="7"/>
    </w:p>
    <w:p w:rsidR="007F7247" w:rsidRPr="006961D9" w:rsidRDefault="008A5604" w:rsidP="008A5604">
      <w:pPr>
        <w:pStyle w:val="Vnbnnidung0"/>
        <w:spacing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4. </w:t>
      </w:r>
      <w:r w:rsidR="0035508A" w:rsidRPr="006961D9">
        <w:rPr>
          <w:rFonts w:ascii="Arial" w:hAnsi="Arial" w:cs="Arial"/>
          <w:color w:val="000000" w:themeColor="text1"/>
          <w:sz w:val="20"/>
          <w:szCs w:val="20"/>
        </w:rPr>
        <w:t xml:space="preserve">Quy định về bảo đảm thực hiện hợp đồng mua bán điện không áp dụng đối với trường khách hàng sử dụng điện với mục đích cấp điện cho trụ sở làm việc của cơ quan nhà nước, đơn vị sự nghiệp công lập, đơn vị lực lượng vũ trang, tổ chức chính trị, </w:t>
      </w:r>
      <w:r w:rsidR="00371E48">
        <w:rPr>
          <w:rFonts w:ascii="Arial" w:hAnsi="Arial" w:cs="Arial"/>
          <w:color w:val="000000" w:themeColor="text1"/>
          <w:sz w:val="20"/>
          <w:szCs w:val="20"/>
          <w:lang w:val="en-US"/>
        </w:rPr>
        <w:t>tổ</w:t>
      </w:r>
      <w:r w:rsidR="0035508A" w:rsidRPr="006961D9">
        <w:rPr>
          <w:rFonts w:ascii="Arial" w:hAnsi="Arial" w:cs="Arial"/>
          <w:color w:val="000000" w:themeColor="text1"/>
          <w:sz w:val="20"/>
          <w:szCs w:val="20"/>
        </w:rPr>
        <w:t xml:space="preserve"> chức chính trị - xã hội.</w:t>
      </w:r>
    </w:p>
    <w:p w:rsidR="0044494B" w:rsidRDefault="0035508A" w:rsidP="0044494B">
      <w:pPr>
        <w:pStyle w:val="Vnbnnidung0"/>
        <w:spacing w:line="240" w:lineRule="auto"/>
        <w:ind w:firstLine="720"/>
        <w:jc w:val="both"/>
        <w:rPr>
          <w:rFonts w:ascii="Arial" w:hAnsi="Arial" w:cs="Arial"/>
          <w:color w:val="000000" w:themeColor="text1"/>
          <w:sz w:val="20"/>
          <w:szCs w:val="20"/>
        </w:rPr>
      </w:pPr>
      <w:r w:rsidRPr="006961D9">
        <w:rPr>
          <w:rFonts w:ascii="Arial" w:hAnsi="Arial" w:cs="Arial"/>
          <w:b/>
          <w:bCs/>
          <w:color w:val="000000" w:themeColor="text1"/>
          <w:sz w:val="20"/>
          <w:szCs w:val="20"/>
        </w:rPr>
        <w:t xml:space="preserve">Điều 4. Trách nhiệm bảo đảm chất lượng điện </w:t>
      </w:r>
      <w:r w:rsidR="007A011E">
        <w:rPr>
          <w:rFonts w:ascii="Arial" w:hAnsi="Arial" w:cs="Arial"/>
          <w:b/>
          <w:bCs/>
          <w:color w:val="000000" w:themeColor="text1"/>
          <w:sz w:val="20"/>
          <w:szCs w:val="20"/>
          <w:lang w:val="en-US"/>
        </w:rPr>
        <w:t>năng của</w:t>
      </w:r>
      <w:r w:rsidRPr="006961D9">
        <w:rPr>
          <w:rFonts w:ascii="Arial" w:hAnsi="Arial" w:cs="Arial"/>
          <w:b/>
          <w:bCs/>
          <w:color w:val="000000" w:themeColor="text1"/>
          <w:sz w:val="20"/>
          <w:szCs w:val="20"/>
        </w:rPr>
        <w:t xml:space="preserve"> bên mua điện ngoài mục đích sinh hoạt</w:t>
      </w:r>
      <w:bookmarkStart w:id="8" w:name="bookmark7"/>
      <w:bookmarkEnd w:id="8"/>
    </w:p>
    <w:p w:rsidR="00611F4C" w:rsidRDefault="0044494B" w:rsidP="00611F4C">
      <w:pPr>
        <w:pStyle w:val="Vnbnnidung0"/>
        <w:spacing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1. </w:t>
      </w:r>
      <w:r w:rsidR="0035508A" w:rsidRPr="006961D9">
        <w:rPr>
          <w:rFonts w:ascii="Arial" w:hAnsi="Arial" w:cs="Arial"/>
          <w:color w:val="000000" w:themeColor="text1"/>
          <w:sz w:val="20"/>
          <w:szCs w:val="20"/>
        </w:rPr>
        <w:t>Bên mua điện có trách nhiệm bảo đảm các thiết bị sử dụng điện của mình đáp ứng yêu cầu về chất lượng điện năng theo quy chuẩn về kỹ thuật điện do Bộ trưởng Bộ Công Thương ban hành.</w:t>
      </w:r>
      <w:bookmarkStart w:id="9" w:name="bookmark8"/>
      <w:bookmarkEnd w:id="9"/>
    </w:p>
    <w:p w:rsidR="00820FDC" w:rsidRDefault="00611F4C" w:rsidP="00820FDC">
      <w:pPr>
        <w:pStyle w:val="Vnbnnidung0"/>
        <w:spacing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2. </w:t>
      </w:r>
      <w:r w:rsidR="0035508A" w:rsidRPr="006961D9">
        <w:rPr>
          <w:rFonts w:ascii="Arial" w:hAnsi="Arial" w:cs="Arial"/>
          <w:color w:val="000000" w:themeColor="text1"/>
          <w:sz w:val="20"/>
          <w:szCs w:val="20"/>
        </w:rPr>
        <w:t>Bên mua điện để sản xuất, kinh doanh có trạm điện riêng hoặc có công suất sử dụng cực đại từ 40 k</w:t>
      </w:r>
      <w:r w:rsidR="00A854D4" w:rsidRPr="006961D9">
        <w:rPr>
          <w:rFonts w:ascii="Arial" w:hAnsi="Arial" w:cs="Arial"/>
          <w:color w:val="000000" w:themeColor="text1"/>
          <w:sz w:val="20"/>
          <w:szCs w:val="20"/>
        </w:rPr>
        <w:t>W</w:t>
      </w:r>
      <w:r w:rsidR="0035508A" w:rsidRPr="006961D9">
        <w:rPr>
          <w:rFonts w:ascii="Arial" w:hAnsi="Arial" w:cs="Arial"/>
          <w:color w:val="000000" w:themeColor="text1"/>
          <w:sz w:val="20"/>
          <w:szCs w:val="20"/>
        </w:rPr>
        <w:t xml:space="preserve"> trở lên trong 3 chu kỳ ghi </w:t>
      </w:r>
      <w:r w:rsidR="00641955">
        <w:rPr>
          <w:rFonts w:ascii="Arial" w:hAnsi="Arial" w:cs="Arial"/>
          <w:color w:val="000000" w:themeColor="text1"/>
          <w:sz w:val="20"/>
          <w:szCs w:val="20"/>
          <w:lang w:val="en-US"/>
        </w:rPr>
        <w:t>chỉ</w:t>
      </w:r>
      <w:r w:rsidR="0035508A" w:rsidRPr="006961D9">
        <w:rPr>
          <w:rFonts w:ascii="Arial" w:hAnsi="Arial" w:cs="Arial"/>
          <w:color w:val="000000" w:themeColor="text1"/>
          <w:sz w:val="20"/>
          <w:szCs w:val="20"/>
        </w:rPr>
        <w:t xml:space="preserve"> </w:t>
      </w:r>
      <w:r w:rsidR="00641955">
        <w:rPr>
          <w:rFonts w:ascii="Arial" w:hAnsi="Arial" w:cs="Arial"/>
          <w:color w:val="000000" w:themeColor="text1"/>
          <w:sz w:val="20"/>
          <w:szCs w:val="20"/>
          <w:lang w:val="en-US"/>
        </w:rPr>
        <w:t>số</w:t>
      </w:r>
      <w:r w:rsidR="0035508A" w:rsidRPr="006961D9">
        <w:rPr>
          <w:rFonts w:ascii="Arial" w:hAnsi="Arial" w:cs="Arial"/>
          <w:color w:val="000000" w:themeColor="text1"/>
          <w:sz w:val="20"/>
          <w:szCs w:val="20"/>
        </w:rPr>
        <w:t xml:space="preserve"> đo điện năng liên tiếp có trách nhiệm:</w:t>
      </w:r>
      <w:bookmarkStart w:id="10" w:name="bookmark9"/>
      <w:bookmarkEnd w:id="10"/>
    </w:p>
    <w:p w:rsidR="002C26DA" w:rsidRDefault="00820FDC" w:rsidP="002C26DA">
      <w:pPr>
        <w:pStyle w:val="Vnbnnidung0"/>
        <w:spacing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a) </w:t>
      </w:r>
      <w:r w:rsidR="0035508A" w:rsidRPr="006961D9">
        <w:rPr>
          <w:rFonts w:ascii="Arial" w:hAnsi="Arial" w:cs="Arial"/>
          <w:color w:val="000000" w:themeColor="text1"/>
          <w:sz w:val="20"/>
          <w:szCs w:val="20"/>
        </w:rPr>
        <w:t>Đăng ký biểu đồ phụ tải và đặc tính kỹ thuật công nghệ của thiết bị sử dụng điện với bên bán điện;</w:t>
      </w:r>
      <w:bookmarkStart w:id="11" w:name="bookmark10"/>
      <w:bookmarkEnd w:id="11"/>
    </w:p>
    <w:p w:rsidR="00B42A8E" w:rsidRDefault="002C26DA" w:rsidP="00B42A8E">
      <w:pPr>
        <w:pStyle w:val="Vnbnnidung0"/>
        <w:spacing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b) </w:t>
      </w:r>
      <w:r w:rsidR="0035508A" w:rsidRPr="006961D9">
        <w:rPr>
          <w:rFonts w:ascii="Arial" w:hAnsi="Arial" w:cs="Arial"/>
          <w:color w:val="000000" w:themeColor="text1"/>
          <w:sz w:val="20"/>
          <w:szCs w:val="20"/>
        </w:rPr>
        <w:t>Đảm bảo hệ số cos</w:t>
      </w:r>
      <w:r w:rsidR="000816C0">
        <w:rPr>
          <w:rFonts w:ascii="Arial" w:hAnsi="Arial" w:cs="Arial"/>
          <w:color w:val="000000" w:themeColor="text1"/>
          <w:sz w:val="20"/>
          <w:szCs w:val="20"/>
        </w:rPr>
        <w:sym w:font="Symbol" w:char="F020"/>
      </w:r>
      <w:r w:rsidR="000816C0">
        <w:rPr>
          <w:rFonts w:ascii="Arial" w:hAnsi="Arial" w:cs="Arial"/>
          <w:color w:val="000000" w:themeColor="text1"/>
          <w:sz w:val="20"/>
          <w:szCs w:val="20"/>
        </w:rPr>
        <w:sym w:font="Symbol" w:char="F06A"/>
      </w:r>
      <w:r w:rsidR="0035508A" w:rsidRPr="006961D9">
        <w:rPr>
          <w:rFonts w:ascii="Arial" w:hAnsi="Arial" w:cs="Arial"/>
          <w:color w:val="000000" w:themeColor="text1"/>
          <w:sz w:val="20"/>
          <w:szCs w:val="20"/>
        </w:rPr>
        <w:t xml:space="preserve"> </w:t>
      </w:r>
      <w:r w:rsidR="000816C0">
        <w:rPr>
          <w:rFonts w:ascii="Arial" w:hAnsi="Arial" w:cs="Arial"/>
          <w:color w:val="000000" w:themeColor="text1"/>
          <w:sz w:val="20"/>
          <w:szCs w:val="20"/>
        </w:rPr>
        <w:t>≥</w:t>
      </w:r>
      <w:r w:rsidR="0035508A" w:rsidRPr="006961D9">
        <w:rPr>
          <w:rFonts w:ascii="Arial" w:hAnsi="Arial" w:cs="Arial"/>
          <w:color w:val="000000" w:themeColor="text1"/>
          <w:sz w:val="20"/>
          <w:szCs w:val="20"/>
        </w:rPr>
        <w:t xml:space="preserve"> 0,9 tại điểm đặt thiết bị đo đếm điện trong điều kiện hệ thống điện đảm bảo chất lượng điện năng theo Quy định của Bộ trưởng Bộ Công Thương. Trường hợp hệ số cos</w:t>
      </w:r>
      <w:r w:rsidR="00B71231">
        <w:rPr>
          <w:rFonts w:ascii="Arial" w:hAnsi="Arial" w:cs="Arial"/>
          <w:color w:val="000000" w:themeColor="text1"/>
          <w:sz w:val="20"/>
          <w:szCs w:val="20"/>
        </w:rPr>
        <w:sym w:font="Symbol" w:char="F06A"/>
      </w:r>
      <w:r w:rsidR="0035508A" w:rsidRPr="006961D9">
        <w:rPr>
          <w:rFonts w:ascii="Arial" w:hAnsi="Arial" w:cs="Arial"/>
          <w:color w:val="000000" w:themeColor="text1"/>
          <w:sz w:val="20"/>
          <w:szCs w:val="20"/>
        </w:rPr>
        <w:t xml:space="preserve"> &lt; 0,9, bên mua điện phải mua thêm công suất phản kháng trên hệ thống điện của bên bán điện theo quy định tại Điều 5 Nghị định này;</w:t>
      </w:r>
      <w:bookmarkStart w:id="12" w:name="bookmark11"/>
      <w:bookmarkEnd w:id="12"/>
    </w:p>
    <w:p w:rsidR="006B309D" w:rsidRDefault="00B42A8E" w:rsidP="006B309D">
      <w:pPr>
        <w:pStyle w:val="Vnbnnidung0"/>
        <w:spacing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c) </w:t>
      </w:r>
      <w:r w:rsidR="0035508A" w:rsidRPr="006961D9">
        <w:rPr>
          <w:rFonts w:ascii="Arial" w:hAnsi="Arial" w:cs="Arial"/>
          <w:color w:val="000000" w:themeColor="text1"/>
          <w:sz w:val="20"/>
          <w:szCs w:val="20"/>
        </w:rPr>
        <w:t>Đảm bảo các tiêu chuẩn kỹ thuật về sóng hài, dao động điện áp, nhấp nháy điện áp theo Quy định về hệ thống truyền tải điện, phân phối điện và đo đếm điện năng do Bộ trưởng Bộ Công Thương ban hành.</w:t>
      </w:r>
      <w:bookmarkStart w:id="13" w:name="bookmark12"/>
      <w:bookmarkEnd w:id="13"/>
    </w:p>
    <w:p w:rsidR="00313F5F" w:rsidRDefault="006B309D" w:rsidP="00313F5F">
      <w:pPr>
        <w:pStyle w:val="Vnbnnidung0"/>
        <w:spacing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3. </w:t>
      </w:r>
      <w:r w:rsidR="0035508A" w:rsidRPr="006961D9">
        <w:rPr>
          <w:rFonts w:ascii="Arial" w:hAnsi="Arial" w:cs="Arial"/>
          <w:color w:val="000000" w:themeColor="text1"/>
          <w:sz w:val="20"/>
          <w:szCs w:val="20"/>
        </w:rPr>
        <w:t>Trường hợp bên mua điện có khả năng phát công suất phản kháng lên hệ thống điện và bên bán điện có nhu cầu mua công suất phản kháng, hai bên có thể thỏa thuận việc mua, bán công suất phản kháng thông qua hợp đồng.</w:t>
      </w:r>
      <w:bookmarkStart w:id="14" w:name="bookmark13"/>
      <w:bookmarkEnd w:id="14"/>
    </w:p>
    <w:p w:rsidR="007F7247" w:rsidRPr="006961D9" w:rsidRDefault="00313F5F" w:rsidP="00313F5F">
      <w:pPr>
        <w:pStyle w:val="Vnbnnidung0"/>
        <w:spacing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4. </w:t>
      </w:r>
      <w:r w:rsidR="0035508A" w:rsidRPr="006961D9">
        <w:rPr>
          <w:rFonts w:ascii="Arial" w:hAnsi="Arial" w:cs="Arial"/>
          <w:color w:val="000000" w:themeColor="text1"/>
          <w:sz w:val="20"/>
          <w:szCs w:val="20"/>
        </w:rPr>
        <w:t>Trường hợp bên mua điện có yêu cầu chất lượng điện năng cao hơn quy định của Bộ Công Thương, bên mua điện và bên bán điện có thể thỏa thuận và quy định cụ thể về yêu cầu chất lượng điện năng trong hợp đồng mua bán điện.</w:t>
      </w:r>
    </w:p>
    <w:p w:rsidR="00372504" w:rsidRDefault="0035508A" w:rsidP="00372504">
      <w:pPr>
        <w:pStyle w:val="Vnbnnidung0"/>
        <w:spacing w:line="240" w:lineRule="auto"/>
        <w:ind w:firstLine="720"/>
        <w:jc w:val="both"/>
        <w:rPr>
          <w:rFonts w:ascii="Arial" w:hAnsi="Arial" w:cs="Arial"/>
          <w:color w:val="000000" w:themeColor="text1"/>
          <w:sz w:val="20"/>
          <w:szCs w:val="20"/>
        </w:rPr>
      </w:pPr>
      <w:r w:rsidRPr="006961D9">
        <w:rPr>
          <w:rFonts w:ascii="Arial" w:hAnsi="Arial" w:cs="Arial"/>
          <w:b/>
          <w:bCs/>
          <w:color w:val="000000" w:themeColor="text1"/>
          <w:sz w:val="20"/>
          <w:szCs w:val="20"/>
        </w:rPr>
        <w:t>Điều 5. Việc thực hiện mua, bán công suất phản kháng</w:t>
      </w:r>
      <w:bookmarkStart w:id="15" w:name="bookmark14"/>
      <w:bookmarkEnd w:id="15"/>
    </w:p>
    <w:p w:rsidR="007F7247" w:rsidRPr="006961D9" w:rsidRDefault="00372504" w:rsidP="00372504">
      <w:pPr>
        <w:pStyle w:val="Vnbnnidung0"/>
        <w:spacing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1. </w:t>
      </w:r>
      <w:r w:rsidR="0035508A" w:rsidRPr="006961D9">
        <w:rPr>
          <w:rFonts w:ascii="Arial" w:hAnsi="Arial" w:cs="Arial"/>
          <w:color w:val="000000" w:themeColor="text1"/>
          <w:sz w:val="20"/>
          <w:szCs w:val="20"/>
        </w:rPr>
        <w:t>Bên mua điện để sản xuất, kinh doanh có trạm điện riêng hoặc có công suất sử dụng cực đại đăng ký tại hợp đồng mua bán điện từ 40 k</w:t>
      </w:r>
      <w:r w:rsidR="000123F6" w:rsidRPr="006961D9">
        <w:rPr>
          <w:rFonts w:ascii="Arial" w:hAnsi="Arial" w:cs="Arial"/>
          <w:color w:val="000000" w:themeColor="text1"/>
          <w:sz w:val="20"/>
          <w:szCs w:val="20"/>
        </w:rPr>
        <w:t>W</w:t>
      </w:r>
      <w:r w:rsidR="0035508A" w:rsidRPr="006961D9">
        <w:rPr>
          <w:rFonts w:ascii="Arial" w:hAnsi="Arial" w:cs="Arial"/>
          <w:color w:val="000000" w:themeColor="text1"/>
          <w:sz w:val="20"/>
          <w:szCs w:val="20"/>
        </w:rPr>
        <w:t xml:space="preserve"> trở lên và có hệ số công suất cos</w:t>
      </w:r>
      <w:r w:rsidR="000123F6">
        <w:rPr>
          <w:rFonts w:ascii="Arial" w:hAnsi="Arial" w:cs="Arial"/>
          <w:color w:val="000000" w:themeColor="text1"/>
          <w:sz w:val="20"/>
          <w:szCs w:val="20"/>
        </w:rPr>
        <w:sym w:font="Symbol" w:char="F06A"/>
      </w:r>
      <w:r w:rsidR="0035508A" w:rsidRPr="006961D9">
        <w:rPr>
          <w:rFonts w:ascii="Arial" w:hAnsi="Arial" w:cs="Arial"/>
          <w:color w:val="000000" w:themeColor="text1"/>
          <w:sz w:val="20"/>
          <w:szCs w:val="20"/>
        </w:rPr>
        <w:t xml:space="preserve"> &lt; 0,9 phải mua công suất phản kháng. Phương pháp xác định hệ số công suất cos</w:t>
      </w:r>
      <w:r w:rsidR="000123F6">
        <w:rPr>
          <w:rFonts w:ascii="Arial" w:hAnsi="Arial" w:cs="Arial"/>
          <w:color w:val="000000" w:themeColor="text1"/>
          <w:sz w:val="20"/>
          <w:szCs w:val="20"/>
        </w:rPr>
        <w:sym w:font="Symbol" w:char="F06A"/>
      </w:r>
      <w:r w:rsidR="0035508A" w:rsidRPr="006961D9">
        <w:rPr>
          <w:rFonts w:ascii="Arial" w:hAnsi="Arial" w:cs="Arial"/>
          <w:color w:val="000000" w:themeColor="text1"/>
          <w:sz w:val="20"/>
          <w:szCs w:val="20"/>
        </w:rPr>
        <w:t xml:space="preserve"> được quy định tại khoản 2 Điều này.</w:t>
      </w:r>
    </w:p>
    <w:p w:rsidR="005A7FA9" w:rsidRDefault="0035508A" w:rsidP="005A7FA9">
      <w:pPr>
        <w:pStyle w:val="Vnbnnidung0"/>
        <w:spacing w:line="240" w:lineRule="auto"/>
        <w:ind w:firstLine="720"/>
        <w:jc w:val="both"/>
        <w:rPr>
          <w:rFonts w:ascii="Arial" w:hAnsi="Arial" w:cs="Arial"/>
          <w:color w:val="000000" w:themeColor="text1"/>
          <w:sz w:val="20"/>
          <w:szCs w:val="20"/>
        </w:rPr>
      </w:pPr>
      <w:r w:rsidRPr="006961D9">
        <w:rPr>
          <w:rFonts w:ascii="Arial" w:hAnsi="Arial" w:cs="Arial"/>
          <w:color w:val="000000" w:themeColor="text1"/>
          <w:sz w:val="20"/>
          <w:szCs w:val="20"/>
        </w:rPr>
        <w:t>Trường hợp bên mua điện có công suất sử dụng cực đại đăng ký tại hợp đồng mua bán điện dưới 40 k</w:t>
      </w:r>
      <w:r w:rsidR="004F7F17" w:rsidRPr="006961D9">
        <w:rPr>
          <w:rFonts w:ascii="Arial" w:hAnsi="Arial" w:cs="Arial"/>
          <w:color w:val="000000" w:themeColor="text1"/>
          <w:sz w:val="20"/>
          <w:szCs w:val="20"/>
        </w:rPr>
        <w:t>W</w:t>
      </w:r>
      <w:r w:rsidRPr="006961D9">
        <w:rPr>
          <w:rFonts w:ascii="Arial" w:hAnsi="Arial" w:cs="Arial"/>
          <w:color w:val="000000" w:themeColor="text1"/>
          <w:sz w:val="20"/>
          <w:szCs w:val="20"/>
        </w:rPr>
        <w:t xml:space="preserve"> nhưng có công suất sử dụng điện thực tế cực đại từ 40 k</w:t>
      </w:r>
      <w:r w:rsidR="004F7F17" w:rsidRPr="006961D9">
        <w:rPr>
          <w:rFonts w:ascii="Arial" w:hAnsi="Arial" w:cs="Arial"/>
          <w:color w:val="000000" w:themeColor="text1"/>
          <w:sz w:val="20"/>
          <w:szCs w:val="20"/>
        </w:rPr>
        <w:t>W</w:t>
      </w:r>
      <w:r w:rsidRPr="006961D9">
        <w:rPr>
          <w:rFonts w:ascii="Arial" w:hAnsi="Arial" w:cs="Arial"/>
          <w:color w:val="000000" w:themeColor="text1"/>
          <w:sz w:val="20"/>
          <w:szCs w:val="20"/>
        </w:rPr>
        <w:t xml:space="preserve"> trở lên trong 3 chu kỳ ghi chỉ số công tơ liên tiếp thì bên mua điện thuộc đối tượng phải mua công suất phản kháng kể từ chu kỳ ghi chỉ số kế tiếp của 3 chu kỳ ghi chỉ số trên. Bên mua điện có trách nhiệm thỏa thuận lại hợp đồng mua bán điện với bên bán điện để thực hiện theo quy định tại khoản 2 Điều 4 Nghị định này.</w:t>
      </w:r>
      <w:bookmarkStart w:id="16" w:name="bookmark15"/>
      <w:bookmarkEnd w:id="16"/>
    </w:p>
    <w:p w:rsidR="006523B5" w:rsidRDefault="005A7FA9" w:rsidP="006523B5">
      <w:pPr>
        <w:pStyle w:val="Vnbnnidung0"/>
        <w:spacing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2. </w:t>
      </w:r>
      <w:r w:rsidR="0035508A" w:rsidRPr="006961D9">
        <w:rPr>
          <w:rFonts w:ascii="Arial" w:hAnsi="Arial" w:cs="Arial"/>
          <w:color w:val="000000" w:themeColor="text1"/>
          <w:sz w:val="20"/>
          <w:szCs w:val="20"/>
        </w:rPr>
        <w:t>Hệ số công suất cos</w:t>
      </w:r>
      <w:r>
        <w:rPr>
          <w:rFonts w:ascii="Arial" w:hAnsi="Arial" w:cs="Arial"/>
          <w:color w:val="000000" w:themeColor="text1"/>
          <w:sz w:val="20"/>
          <w:szCs w:val="20"/>
        </w:rPr>
        <w:sym w:font="Symbol" w:char="F06A"/>
      </w:r>
      <w:r w:rsidR="0035508A" w:rsidRPr="006961D9">
        <w:rPr>
          <w:rFonts w:ascii="Arial" w:hAnsi="Arial" w:cs="Arial"/>
          <w:color w:val="000000" w:themeColor="text1"/>
          <w:sz w:val="20"/>
          <w:szCs w:val="20"/>
        </w:rPr>
        <w:t xml:space="preserve"> dùng để xác định việc mua công suất phản kháng của bên mua điện được tính trên cơ sở số liệu đo đếm được tại công tơ đo đếm điện năng trong một chu kỳ ghi chỉ số công tơ theo quy định tại mục 1 Phụ lục ban hành kèm theo Nghị định này.</w:t>
      </w:r>
      <w:bookmarkStart w:id="17" w:name="bookmark16"/>
      <w:bookmarkEnd w:id="17"/>
    </w:p>
    <w:p w:rsidR="007534FA" w:rsidRDefault="006523B5" w:rsidP="007534FA">
      <w:pPr>
        <w:pStyle w:val="Vnbnnidung0"/>
        <w:spacing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3. </w:t>
      </w:r>
      <w:r w:rsidR="0035508A" w:rsidRPr="006961D9">
        <w:rPr>
          <w:rFonts w:ascii="Arial" w:hAnsi="Arial" w:cs="Arial"/>
          <w:color w:val="000000" w:themeColor="text1"/>
          <w:sz w:val="20"/>
          <w:szCs w:val="20"/>
        </w:rPr>
        <w:t xml:space="preserve">Trường hợp bên mua điện ký một Hợp đồng cho nhiều công tơ đo đếm điện tại một địa điểm được cấp chung cùng một đường dây thì điện năng tác dụng là tổng sản lượng điện năng tác dụng của các công tơ và điện năng phản kháng là </w:t>
      </w:r>
      <w:r w:rsidR="007534FA">
        <w:rPr>
          <w:rFonts w:ascii="Arial" w:hAnsi="Arial" w:cs="Arial"/>
          <w:color w:val="000000" w:themeColor="text1"/>
          <w:sz w:val="20"/>
          <w:szCs w:val="20"/>
          <w:lang w:val="en-US"/>
        </w:rPr>
        <w:t>tổng</w:t>
      </w:r>
      <w:r w:rsidR="0035508A" w:rsidRPr="006961D9">
        <w:rPr>
          <w:rFonts w:ascii="Arial" w:hAnsi="Arial" w:cs="Arial"/>
          <w:color w:val="000000" w:themeColor="text1"/>
          <w:sz w:val="20"/>
          <w:szCs w:val="20"/>
        </w:rPr>
        <w:t xml:space="preserve"> sản lượng điện năng phản kháng của các công tơ.</w:t>
      </w:r>
      <w:bookmarkStart w:id="18" w:name="bookmark17"/>
      <w:bookmarkEnd w:id="18"/>
    </w:p>
    <w:p w:rsidR="001A42F8" w:rsidRDefault="007534FA" w:rsidP="001A42F8">
      <w:pPr>
        <w:pStyle w:val="Vnbnnidung0"/>
        <w:spacing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4. </w:t>
      </w:r>
      <w:r w:rsidR="0035508A" w:rsidRPr="006961D9">
        <w:rPr>
          <w:rFonts w:ascii="Arial" w:hAnsi="Arial" w:cs="Arial"/>
          <w:color w:val="000000" w:themeColor="text1"/>
          <w:sz w:val="20"/>
          <w:szCs w:val="20"/>
        </w:rPr>
        <w:t>Trường hợp bên mua điện có sử dụng điện cho các mục đích khác chung với mục đích sản xuất, kinh doanh thì việc xác định hệ số công suất cos</w:t>
      </w:r>
      <w:r w:rsidR="00C55E51">
        <w:rPr>
          <w:rFonts w:ascii="Arial" w:hAnsi="Arial" w:cs="Arial"/>
          <w:color w:val="000000" w:themeColor="text1"/>
          <w:sz w:val="20"/>
          <w:szCs w:val="20"/>
        </w:rPr>
        <w:sym w:font="Symbol" w:char="F06A"/>
      </w:r>
      <w:r w:rsidR="0035508A" w:rsidRPr="006961D9">
        <w:rPr>
          <w:rFonts w:ascii="Arial" w:hAnsi="Arial" w:cs="Arial"/>
          <w:color w:val="000000" w:themeColor="text1"/>
          <w:sz w:val="20"/>
          <w:szCs w:val="20"/>
        </w:rPr>
        <w:t xml:space="preserve"> như sau:</w:t>
      </w:r>
      <w:bookmarkStart w:id="19" w:name="bookmark18"/>
      <w:bookmarkEnd w:id="19"/>
    </w:p>
    <w:p w:rsidR="00341981" w:rsidRDefault="001A42F8" w:rsidP="00341981">
      <w:pPr>
        <w:pStyle w:val="Vnbnnidung0"/>
        <w:spacing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a) </w:t>
      </w:r>
      <w:r w:rsidR="004D4926">
        <w:rPr>
          <w:rFonts w:ascii="Arial" w:hAnsi="Arial" w:cs="Arial"/>
          <w:color w:val="000000" w:themeColor="text1"/>
          <w:sz w:val="20"/>
          <w:szCs w:val="20"/>
        </w:rPr>
        <w:t>Khi có công tơ đo đ</w:t>
      </w:r>
      <w:r w:rsidR="004D4926">
        <w:rPr>
          <w:rFonts w:ascii="Arial" w:hAnsi="Arial" w:cs="Arial"/>
          <w:color w:val="000000" w:themeColor="text1"/>
          <w:sz w:val="20"/>
          <w:szCs w:val="20"/>
          <w:lang w:val="en-US"/>
        </w:rPr>
        <w:t>ế</w:t>
      </w:r>
      <w:r w:rsidR="0035508A" w:rsidRPr="006961D9">
        <w:rPr>
          <w:rFonts w:ascii="Arial" w:hAnsi="Arial" w:cs="Arial"/>
          <w:color w:val="000000" w:themeColor="text1"/>
          <w:sz w:val="20"/>
          <w:szCs w:val="20"/>
        </w:rPr>
        <w:t>m riêng cho phần điện năng sử dụng để sản xuất, kinh doanh thì chỉ áp dụng mua công suất phản kháng đối với phần điện năng sử dụng cho mục đích này:</w:t>
      </w:r>
      <w:bookmarkStart w:id="20" w:name="bookmark19"/>
      <w:bookmarkEnd w:id="20"/>
    </w:p>
    <w:p w:rsidR="005258F7" w:rsidRDefault="00341981" w:rsidP="005258F7">
      <w:pPr>
        <w:pStyle w:val="Vnbnnidung0"/>
        <w:spacing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b) </w:t>
      </w:r>
      <w:r w:rsidR="0035508A" w:rsidRPr="006961D9">
        <w:rPr>
          <w:rFonts w:ascii="Arial" w:hAnsi="Arial" w:cs="Arial"/>
          <w:color w:val="000000" w:themeColor="text1"/>
          <w:sz w:val="20"/>
          <w:szCs w:val="20"/>
        </w:rPr>
        <w:t>Khi không có công tơ đo đếm riêng cho phần điện năng sử dụng</w:t>
      </w:r>
      <w:r w:rsidR="00774EA2">
        <w:rPr>
          <w:rFonts w:ascii="Arial" w:hAnsi="Arial" w:cs="Arial"/>
          <w:color w:val="000000" w:themeColor="text1"/>
          <w:sz w:val="20"/>
          <w:szCs w:val="20"/>
        </w:rPr>
        <w:t xml:space="preserve"> đ</w:t>
      </w:r>
      <w:r w:rsidR="00774EA2">
        <w:rPr>
          <w:rFonts w:ascii="Arial" w:hAnsi="Arial" w:cs="Arial"/>
          <w:color w:val="000000" w:themeColor="text1"/>
          <w:sz w:val="20"/>
          <w:szCs w:val="20"/>
          <w:lang w:val="en-US"/>
        </w:rPr>
        <w:t>ể</w:t>
      </w:r>
      <w:r w:rsidR="0035508A" w:rsidRPr="006961D9">
        <w:rPr>
          <w:rFonts w:ascii="Arial" w:hAnsi="Arial" w:cs="Arial"/>
          <w:color w:val="000000" w:themeColor="text1"/>
          <w:sz w:val="20"/>
          <w:szCs w:val="20"/>
        </w:rPr>
        <w:t xml:space="preserve"> sản xuất, kinh doanh mà chỉ có công tơ đo đếm điện năng chung, nếu hệ số công suất cos</w:t>
      </w:r>
      <w:r w:rsidR="00C0098E">
        <w:rPr>
          <w:rFonts w:ascii="Arial" w:hAnsi="Arial" w:cs="Arial"/>
          <w:color w:val="000000" w:themeColor="text1"/>
          <w:sz w:val="20"/>
          <w:szCs w:val="20"/>
        </w:rPr>
        <w:sym w:font="Symbol" w:char="F06A"/>
      </w:r>
      <w:r w:rsidR="0035508A" w:rsidRPr="006961D9">
        <w:rPr>
          <w:rFonts w:ascii="Arial" w:hAnsi="Arial" w:cs="Arial"/>
          <w:color w:val="000000" w:themeColor="text1"/>
          <w:sz w:val="20"/>
          <w:szCs w:val="20"/>
        </w:rPr>
        <w:t xml:space="preserve"> &lt; 0,9 thì bên mua điện phải mua công suất phản kháng cho phần điện năng sử dụng cho mục đích sản xuất, kinh doanh. Phần điện n</w:t>
      </w:r>
      <w:r w:rsidR="00C0098E">
        <w:rPr>
          <w:rFonts w:ascii="Arial" w:hAnsi="Arial" w:cs="Arial"/>
          <w:color w:val="000000" w:themeColor="text1"/>
          <w:sz w:val="20"/>
          <w:szCs w:val="20"/>
        </w:rPr>
        <w:t>ăng sử dụng cho mục đích sản xu</w:t>
      </w:r>
      <w:r w:rsidR="00C0098E">
        <w:rPr>
          <w:rFonts w:ascii="Arial" w:hAnsi="Arial" w:cs="Arial"/>
          <w:color w:val="000000" w:themeColor="text1"/>
          <w:sz w:val="20"/>
          <w:szCs w:val="20"/>
          <w:lang w:val="en-US"/>
        </w:rPr>
        <w:t>ấ</w:t>
      </w:r>
      <w:r w:rsidR="0035508A" w:rsidRPr="006961D9">
        <w:rPr>
          <w:rFonts w:ascii="Arial" w:hAnsi="Arial" w:cs="Arial"/>
          <w:color w:val="000000" w:themeColor="text1"/>
          <w:sz w:val="20"/>
          <w:szCs w:val="20"/>
        </w:rPr>
        <w:t xml:space="preserve">t, kinh doanh được xác định trên cơ sở sản lượng điện năng </w:t>
      </w:r>
      <w:r w:rsidR="0035508A" w:rsidRPr="006961D9">
        <w:rPr>
          <w:rFonts w:ascii="Arial" w:hAnsi="Arial" w:cs="Arial"/>
          <w:color w:val="000000" w:themeColor="text1"/>
          <w:sz w:val="20"/>
          <w:szCs w:val="20"/>
        </w:rPr>
        <w:lastRenderedPageBreak/>
        <w:t>đo đếm chung trừ đi sản lượng điện năng sử dụng cho mục đích khác được tính toán căn cứ công suất sử dụng và thời gian sử dụng của các thiết bị điện phục vụ mục đích khác do hai bên thỏa thuận trong hợp đồng mua bán điện.</w:t>
      </w:r>
      <w:bookmarkStart w:id="21" w:name="bookmark20"/>
      <w:bookmarkEnd w:id="21"/>
    </w:p>
    <w:p w:rsidR="002F36A0" w:rsidRDefault="005258F7" w:rsidP="002F36A0">
      <w:pPr>
        <w:pStyle w:val="Vnbnnidung0"/>
        <w:spacing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5. </w:t>
      </w:r>
      <w:r w:rsidR="0035508A" w:rsidRPr="006961D9">
        <w:rPr>
          <w:rFonts w:ascii="Arial" w:hAnsi="Arial" w:cs="Arial"/>
          <w:color w:val="000000" w:themeColor="text1"/>
          <w:sz w:val="20"/>
          <w:szCs w:val="20"/>
        </w:rPr>
        <w:t>Tiền mua công suất phản kháng là số tiền bên mua điện phải trả cho bên bán điện để bù đắp các khoản chi phí phát sinh thêm do bên mua điện sử dụng quá lượng công suất phản kháng quy định được tính theo công thức quy định tại mục 2 Phụ lục ban hành kèm theo Nghị định này.</w:t>
      </w:r>
      <w:bookmarkStart w:id="22" w:name="bookmark21"/>
      <w:bookmarkEnd w:id="22"/>
    </w:p>
    <w:p w:rsidR="00AB28F1" w:rsidRDefault="002F36A0" w:rsidP="00AB28F1">
      <w:pPr>
        <w:pStyle w:val="Vnbnnidung0"/>
        <w:spacing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6. </w:t>
      </w:r>
      <w:r w:rsidR="0035508A" w:rsidRPr="006961D9">
        <w:rPr>
          <w:rFonts w:ascii="Arial" w:hAnsi="Arial" w:cs="Arial"/>
          <w:color w:val="000000" w:themeColor="text1"/>
          <w:sz w:val="20"/>
          <w:szCs w:val="20"/>
        </w:rPr>
        <w:t>Bên mua điện phải thanh toán tiền mua công suất phản kháng cùng kỳ với tiền mua điện năng tác dụng. Việc</w:t>
      </w:r>
      <w:r w:rsidR="001C18E3">
        <w:rPr>
          <w:rFonts w:ascii="Arial" w:hAnsi="Arial" w:cs="Arial"/>
          <w:color w:val="000000" w:themeColor="text1"/>
          <w:sz w:val="20"/>
          <w:szCs w:val="20"/>
        </w:rPr>
        <w:t xml:space="preserve"> xử lý nợ tiền mua công suất ph</w:t>
      </w:r>
      <w:r w:rsidR="001C18E3">
        <w:rPr>
          <w:rFonts w:ascii="Arial" w:hAnsi="Arial" w:cs="Arial"/>
          <w:color w:val="000000" w:themeColor="text1"/>
          <w:sz w:val="20"/>
          <w:szCs w:val="20"/>
          <w:lang w:val="en-US"/>
        </w:rPr>
        <w:t>ả</w:t>
      </w:r>
      <w:r w:rsidR="0035508A" w:rsidRPr="006961D9">
        <w:rPr>
          <w:rFonts w:ascii="Arial" w:hAnsi="Arial" w:cs="Arial"/>
          <w:color w:val="000000" w:themeColor="text1"/>
          <w:sz w:val="20"/>
          <w:szCs w:val="20"/>
        </w:rPr>
        <w:t>n kháng được thực hiện như xử lý nợ tiền mua điện năng tác dụng.</w:t>
      </w:r>
      <w:bookmarkStart w:id="23" w:name="bookmark22"/>
      <w:bookmarkEnd w:id="23"/>
    </w:p>
    <w:p w:rsidR="007F7247" w:rsidRPr="006961D9" w:rsidRDefault="00AB28F1" w:rsidP="00AB28F1">
      <w:pPr>
        <w:pStyle w:val="Vnbnnidung0"/>
        <w:spacing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7. </w:t>
      </w:r>
      <w:r w:rsidR="0035508A" w:rsidRPr="006961D9">
        <w:rPr>
          <w:rFonts w:ascii="Arial" w:hAnsi="Arial" w:cs="Arial"/>
          <w:color w:val="000000" w:themeColor="text1"/>
          <w:sz w:val="20"/>
          <w:szCs w:val="20"/>
        </w:rPr>
        <w:t>Trường hợp bên bán điện không đảm bảo chất lượng điện theo quy định của Bộ Công Thương thì bên mua đ</w:t>
      </w:r>
      <w:r w:rsidR="00275AFC">
        <w:rPr>
          <w:rFonts w:ascii="Arial" w:hAnsi="Arial" w:cs="Arial"/>
          <w:color w:val="000000" w:themeColor="text1"/>
          <w:sz w:val="20"/>
          <w:szCs w:val="20"/>
        </w:rPr>
        <w:t>iện không phải mua công suất ph</w:t>
      </w:r>
      <w:r w:rsidR="00275AFC">
        <w:rPr>
          <w:rFonts w:ascii="Arial" w:hAnsi="Arial" w:cs="Arial"/>
          <w:color w:val="000000" w:themeColor="text1"/>
          <w:sz w:val="20"/>
          <w:szCs w:val="20"/>
          <w:lang w:val="en-US"/>
        </w:rPr>
        <w:t>ả</w:t>
      </w:r>
      <w:r w:rsidR="0035508A" w:rsidRPr="006961D9">
        <w:rPr>
          <w:rFonts w:ascii="Arial" w:hAnsi="Arial" w:cs="Arial"/>
          <w:color w:val="000000" w:themeColor="text1"/>
          <w:sz w:val="20"/>
          <w:szCs w:val="20"/>
        </w:rPr>
        <w:t>n kháng khỉ hệ số công suất cos</w:t>
      </w:r>
      <w:r w:rsidR="00275AFC">
        <w:rPr>
          <w:rFonts w:ascii="Arial" w:hAnsi="Arial" w:cs="Arial"/>
          <w:color w:val="000000" w:themeColor="text1"/>
          <w:sz w:val="20"/>
          <w:szCs w:val="20"/>
        </w:rPr>
        <w:sym w:font="Symbol" w:char="F06A"/>
      </w:r>
      <w:r w:rsidR="0035508A" w:rsidRPr="006961D9">
        <w:rPr>
          <w:rFonts w:ascii="Arial" w:hAnsi="Arial" w:cs="Arial"/>
          <w:color w:val="000000" w:themeColor="text1"/>
          <w:sz w:val="20"/>
          <w:szCs w:val="20"/>
        </w:rPr>
        <w:t xml:space="preserve"> &lt; 0,9.</w:t>
      </w:r>
    </w:p>
    <w:p w:rsidR="002B5CED" w:rsidRDefault="0035508A" w:rsidP="002B5CED">
      <w:pPr>
        <w:pStyle w:val="Vnbnnidung0"/>
        <w:spacing w:line="240" w:lineRule="auto"/>
        <w:ind w:firstLine="720"/>
        <w:jc w:val="both"/>
        <w:rPr>
          <w:rFonts w:ascii="Arial" w:hAnsi="Arial" w:cs="Arial"/>
          <w:color w:val="000000" w:themeColor="text1"/>
          <w:sz w:val="20"/>
          <w:szCs w:val="20"/>
        </w:rPr>
      </w:pPr>
      <w:r w:rsidRPr="006961D9">
        <w:rPr>
          <w:rFonts w:ascii="Arial" w:hAnsi="Arial" w:cs="Arial"/>
          <w:b/>
          <w:bCs/>
          <w:color w:val="000000" w:themeColor="text1"/>
          <w:sz w:val="20"/>
          <w:szCs w:val="20"/>
        </w:rPr>
        <w:t xml:space="preserve">Điều 6. Điều kiện giao kết </w:t>
      </w:r>
      <w:r w:rsidR="00032485">
        <w:rPr>
          <w:rFonts w:ascii="Arial" w:hAnsi="Arial" w:cs="Arial"/>
          <w:b/>
          <w:bCs/>
          <w:color w:val="000000" w:themeColor="text1"/>
          <w:sz w:val="20"/>
          <w:szCs w:val="20"/>
        </w:rPr>
        <w:t>hợp đồng</w:t>
      </w:r>
      <w:r w:rsidR="002B5CED">
        <w:rPr>
          <w:rFonts w:ascii="Arial" w:hAnsi="Arial" w:cs="Arial"/>
          <w:b/>
          <w:bCs/>
          <w:color w:val="000000" w:themeColor="text1"/>
          <w:sz w:val="20"/>
          <w:szCs w:val="20"/>
        </w:rPr>
        <w:t xml:space="preserve"> mua bán </w:t>
      </w:r>
      <w:r w:rsidR="002B5CED">
        <w:rPr>
          <w:rFonts w:ascii="Arial" w:hAnsi="Arial" w:cs="Arial"/>
          <w:b/>
          <w:bCs/>
          <w:color w:val="000000" w:themeColor="text1"/>
          <w:sz w:val="20"/>
          <w:szCs w:val="20"/>
          <w:lang w:val="en-US"/>
        </w:rPr>
        <w:t>đ</w:t>
      </w:r>
      <w:r w:rsidRPr="006961D9">
        <w:rPr>
          <w:rFonts w:ascii="Arial" w:hAnsi="Arial" w:cs="Arial"/>
          <w:b/>
          <w:bCs/>
          <w:color w:val="000000" w:themeColor="text1"/>
          <w:sz w:val="20"/>
          <w:szCs w:val="20"/>
        </w:rPr>
        <w:t>iện phục vụ mục đích sinh hoạt</w:t>
      </w:r>
      <w:bookmarkStart w:id="24" w:name="bookmark23"/>
      <w:bookmarkEnd w:id="24"/>
    </w:p>
    <w:p w:rsidR="00605744" w:rsidRDefault="002B5CED" w:rsidP="00605744">
      <w:pPr>
        <w:pStyle w:val="Vnbnnidung0"/>
        <w:spacing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1. </w:t>
      </w:r>
      <w:r w:rsidR="0035508A" w:rsidRPr="006961D9">
        <w:rPr>
          <w:rFonts w:ascii="Arial" w:hAnsi="Arial" w:cs="Arial"/>
          <w:color w:val="000000" w:themeColor="text1"/>
          <w:sz w:val="20"/>
          <w:szCs w:val="20"/>
        </w:rPr>
        <w:t>Tổ chức, cá nhân khi đề nghị giao kết hợp đồng mua bán điện phục vụ mục đích sinh hoạt phải bảo đảm các điều kiện sau:</w:t>
      </w:r>
      <w:bookmarkStart w:id="25" w:name="bookmark24"/>
      <w:bookmarkEnd w:id="25"/>
    </w:p>
    <w:p w:rsidR="00605744" w:rsidRDefault="00605744" w:rsidP="00605744">
      <w:pPr>
        <w:pStyle w:val="Vnbnnidung0"/>
        <w:spacing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a) </w:t>
      </w:r>
      <w:r>
        <w:rPr>
          <w:rFonts w:ascii="Arial" w:hAnsi="Arial" w:cs="Arial"/>
          <w:color w:val="000000" w:themeColor="text1"/>
          <w:sz w:val="20"/>
          <w:szCs w:val="20"/>
        </w:rPr>
        <w:t>Chủ th</w:t>
      </w:r>
      <w:r>
        <w:rPr>
          <w:rFonts w:ascii="Arial" w:hAnsi="Arial" w:cs="Arial"/>
          <w:color w:val="000000" w:themeColor="text1"/>
          <w:sz w:val="20"/>
          <w:szCs w:val="20"/>
          <w:lang w:val="en-US"/>
        </w:rPr>
        <w:t>ể</w:t>
      </w:r>
      <w:r w:rsidR="0035508A" w:rsidRPr="006961D9">
        <w:rPr>
          <w:rFonts w:ascii="Arial" w:hAnsi="Arial" w:cs="Arial"/>
          <w:color w:val="000000" w:themeColor="text1"/>
          <w:sz w:val="20"/>
          <w:szCs w:val="20"/>
        </w:rPr>
        <w:t xml:space="preserve"> đề nghị giao kết hợp đồng của bên mua điện là người đại diện theo pháp luật hoặc theo ủy quyền của bên mua điện thực hiện giao kết </w:t>
      </w:r>
      <w:r w:rsidR="00032485">
        <w:rPr>
          <w:rFonts w:ascii="Arial" w:hAnsi="Arial" w:cs="Arial"/>
          <w:color w:val="000000" w:themeColor="text1"/>
          <w:sz w:val="20"/>
          <w:szCs w:val="20"/>
        </w:rPr>
        <w:t>hợp đồng</w:t>
      </w:r>
      <w:r w:rsidR="0035508A" w:rsidRPr="006961D9">
        <w:rPr>
          <w:rFonts w:ascii="Arial" w:hAnsi="Arial" w:cs="Arial"/>
          <w:color w:val="000000" w:themeColor="text1"/>
          <w:sz w:val="20"/>
          <w:szCs w:val="20"/>
        </w:rPr>
        <w:t>;</w:t>
      </w:r>
      <w:bookmarkStart w:id="26" w:name="bookmark25"/>
      <w:bookmarkEnd w:id="26"/>
    </w:p>
    <w:p w:rsidR="00454011" w:rsidRDefault="00605744" w:rsidP="00454011">
      <w:pPr>
        <w:pStyle w:val="Vnbnnidung0"/>
        <w:spacing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b) </w:t>
      </w:r>
      <w:r w:rsidR="0035508A" w:rsidRPr="006961D9">
        <w:rPr>
          <w:rFonts w:ascii="Arial" w:hAnsi="Arial" w:cs="Arial"/>
          <w:color w:val="000000" w:themeColor="text1"/>
          <w:sz w:val="20"/>
          <w:szCs w:val="20"/>
        </w:rPr>
        <w:t>Chủ thể đề nghị giao kết hợp đồng của bên bán điện là người đại diện theo pháp luật hoặc theo ủy quyền của đơn vị bán lẻ điện đáp ứng nhu cầu của Bên mua điện thực hiện giao kết hợp đồng;</w:t>
      </w:r>
      <w:bookmarkStart w:id="27" w:name="bookmark26"/>
      <w:bookmarkEnd w:id="27"/>
    </w:p>
    <w:p w:rsidR="000E38E3" w:rsidRDefault="00454011" w:rsidP="000E38E3">
      <w:pPr>
        <w:pStyle w:val="Vnbnnidung0"/>
        <w:spacing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c) </w:t>
      </w:r>
      <w:r>
        <w:rPr>
          <w:rFonts w:ascii="Arial" w:hAnsi="Arial" w:cs="Arial"/>
          <w:color w:val="000000" w:themeColor="text1"/>
          <w:sz w:val="20"/>
          <w:szCs w:val="20"/>
        </w:rPr>
        <w:t>Chủ th</w:t>
      </w:r>
      <w:r>
        <w:rPr>
          <w:rFonts w:ascii="Arial" w:hAnsi="Arial" w:cs="Arial"/>
          <w:color w:val="000000" w:themeColor="text1"/>
          <w:sz w:val="20"/>
          <w:szCs w:val="20"/>
          <w:lang w:val="en-US"/>
        </w:rPr>
        <w:t>ể</w:t>
      </w:r>
      <w:r w:rsidR="0035508A" w:rsidRPr="006961D9">
        <w:rPr>
          <w:rFonts w:ascii="Arial" w:hAnsi="Arial" w:cs="Arial"/>
          <w:color w:val="000000" w:themeColor="text1"/>
          <w:sz w:val="20"/>
          <w:szCs w:val="20"/>
        </w:rPr>
        <w:t xml:space="preserve"> tham gia đề nghị giao kết hợp đồng bảo đảm điều kiện có hiệu lực của giao dịch dân sự theo quy định của Bộ luật Dân sự. Trường hợp người mất năng lực hành vi dân sự thì người đại diện theo pháp luật của người mất nă</w:t>
      </w:r>
      <w:r w:rsidR="00005CF7">
        <w:rPr>
          <w:rFonts w:ascii="Arial" w:hAnsi="Arial" w:cs="Arial"/>
          <w:color w:val="000000" w:themeColor="text1"/>
          <w:sz w:val="20"/>
          <w:szCs w:val="20"/>
        </w:rPr>
        <w:t>ng lực hành vi dân sự là chủ th</w:t>
      </w:r>
      <w:r w:rsidR="00005CF7">
        <w:rPr>
          <w:rFonts w:ascii="Arial" w:hAnsi="Arial" w:cs="Arial"/>
          <w:color w:val="000000" w:themeColor="text1"/>
          <w:sz w:val="20"/>
          <w:szCs w:val="20"/>
          <w:lang w:val="en-US"/>
        </w:rPr>
        <w:t>ể</w:t>
      </w:r>
      <w:r w:rsidR="0035508A" w:rsidRPr="006961D9">
        <w:rPr>
          <w:rFonts w:ascii="Arial" w:hAnsi="Arial" w:cs="Arial"/>
          <w:color w:val="000000" w:themeColor="text1"/>
          <w:sz w:val="20"/>
          <w:szCs w:val="20"/>
        </w:rPr>
        <w:t xml:space="preserve"> tham gia đề nghị giao kết hợp đồng;</w:t>
      </w:r>
      <w:bookmarkStart w:id="28" w:name="bookmark27"/>
      <w:bookmarkEnd w:id="28"/>
    </w:p>
    <w:p w:rsidR="007F7247" w:rsidRPr="006961D9" w:rsidRDefault="000E38E3" w:rsidP="000E38E3">
      <w:pPr>
        <w:pStyle w:val="Vnbnnidung0"/>
        <w:spacing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d) </w:t>
      </w:r>
      <w:r w:rsidR="0035508A" w:rsidRPr="006961D9">
        <w:rPr>
          <w:rFonts w:ascii="Arial" w:hAnsi="Arial" w:cs="Arial"/>
          <w:color w:val="000000" w:themeColor="text1"/>
          <w:sz w:val="20"/>
          <w:szCs w:val="20"/>
        </w:rPr>
        <w:t xml:space="preserve">Trường hợp bên mua điện gồm nhiều hộ sử dụng điện chung giao kết 01 hợp đồng thì chủ thể giao kết hợp đồng của Bên mua điện là đại diện số hộ dùng chung ký hợp đồng </w:t>
      </w:r>
      <w:r w:rsidR="00F0772D">
        <w:rPr>
          <w:rFonts w:ascii="Arial" w:hAnsi="Arial" w:cs="Arial"/>
          <w:color w:val="000000" w:themeColor="text1"/>
          <w:sz w:val="20"/>
          <w:szCs w:val="20"/>
          <w:lang w:val="en-US"/>
        </w:rPr>
        <w:t>và</w:t>
      </w:r>
      <w:r w:rsidR="0035508A" w:rsidRPr="006961D9">
        <w:rPr>
          <w:rFonts w:ascii="Arial" w:hAnsi="Arial" w:cs="Arial"/>
          <w:color w:val="000000" w:themeColor="text1"/>
          <w:sz w:val="20"/>
          <w:szCs w:val="20"/>
        </w:rPr>
        <w:t xml:space="preserve"> có văn bản ủy quyền của các hộ dùng chung khác. Tại hợp đồng phải ghi rõ số hộ dùng chung (có danh sách kèm theo) và giá bán điện được áp dụng theo quy định của pháp luật về điện lực. Việc ủy quyền thực hiện theo quy định của pháp luật về dân sự;</w:t>
      </w:r>
    </w:p>
    <w:p w:rsidR="00C02D17" w:rsidRDefault="0035508A" w:rsidP="00C02D17">
      <w:pPr>
        <w:pStyle w:val="Vnbnnidung0"/>
        <w:spacing w:line="240" w:lineRule="auto"/>
        <w:ind w:firstLine="720"/>
        <w:jc w:val="both"/>
        <w:rPr>
          <w:rFonts w:ascii="Arial" w:hAnsi="Arial" w:cs="Arial"/>
          <w:color w:val="000000" w:themeColor="text1"/>
          <w:sz w:val="20"/>
          <w:szCs w:val="20"/>
        </w:rPr>
      </w:pPr>
      <w:r w:rsidRPr="006961D9">
        <w:rPr>
          <w:rFonts w:ascii="Arial" w:hAnsi="Arial" w:cs="Arial"/>
          <w:color w:val="000000" w:themeColor="text1"/>
          <w:sz w:val="20"/>
          <w:szCs w:val="20"/>
        </w:rPr>
        <w:t xml:space="preserve">đ) Trường hợp bên mua điện là người thuê nhà </w:t>
      </w:r>
      <w:r w:rsidR="009F4118">
        <w:rPr>
          <w:rFonts w:ascii="Arial" w:hAnsi="Arial" w:cs="Arial"/>
          <w:color w:val="000000" w:themeColor="text1"/>
          <w:sz w:val="20"/>
          <w:szCs w:val="20"/>
          <w:lang w:val="en-US"/>
        </w:rPr>
        <w:t>để</w:t>
      </w:r>
      <w:r w:rsidR="008C4CFF">
        <w:rPr>
          <w:rFonts w:ascii="Arial" w:hAnsi="Arial" w:cs="Arial"/>
          <w:color w:val="000000" w:themeColor="text1"/>
          <w:sz w:val="20"/>
          <w:szCs w:val="20"/>
        </w:rPr>
        <w:t xml:space="preserve"> ở thì ch</w:t>
      </w:r>
      <w:r w:rsidR="008C4CFF">
        <w:rPr>
          <w:rFonts w:ascii="Arial" w:hAnsi="Arial" w:cs="Arial"/>
          <w:color w:val="000000" w:themeColor="text1"/>
          <w:sz w:val="20"/>
          <w:szCs w:val="20"/>
          <w:lang w:val="en-US"/>
        </w:rPr>
        <w:t>ủ</w:t>
      </w:r>
      <w:r w:rsidRPr="006961D9">
        <w:rPr>
          <w:rFonts w:ascii="Arial" w:hAnsi="Arial" w:cs="Arial"/>
          <w:color w:val="000000" w:themeColor="text1"/>
          <w:sz w:val="20"/>
          <w:szCs w:val="20"/>
        </w:rPr>
        <w:t xml:space="preserve"> thể giao kết </w:t>
      </w:r>
      <w:r w:rsidR="00032485">
        <w:rPr>
          <w:rFonts w:ascii="Arial" w:hAnsi="Arial" w:cs="Arial"/>
          <w:color w:val="000000" w:themeColor="text1"/>
          <w:sz w:val="20"/>
          <w:szCs w:val="20"/>
        </w:rPr>
        <w:t>hợp đồng</w:t>
      </w:r>
      <w:r w:rsidRPr="006961D9">
        <w:rPr>
          <w:rFonts w:ascii="Arial" w:hAnsi="Arial" w:cs="Arial"/>
          <w:color w:val="000000" w:themeColor="text1"/>
          <w:sz w:val="20"/>
          <w:szCs w:val="20"/>
        </w:rPr>
        <w:t xml:space="preserve"> của bên mua điện là chủ sở hữu nhà ở hoặc người thuê nhà được </w:t>
      </w:r>
      <w:r w:rsidR="00E46E07">
        <w:rPr>
          <w:rFonts w:ascii="Arial" w:hAnsi="Arial" w:cs="Arial"/>
          <w:color w:val="000000" w:themeColor="text1"/>
          <w:sz w:val="20"/>
          <w:szCs w:val="20"/>
          <w:lang w:val="en-US"/>
        </w:rPr>
        <w:t>chủ sở</w:t>
      </w:r>
      <w:r w:rsidRPr="006961D9">
        <w:rPr>
          <w:rFonts w:ascii="Arial" w:hAnsi="Arial" w:cs="Arial"/>
          <w:color w:val="000000" w:themeColor="text1"/>
          <w:sz w:val="20"/>
          <w:szCs w:val="20"/>
        </w:rPr>
        <w:t xml:space="preserve"> hữu nhà ở ủy quyền bằng văn bản. Trong đó, chủ sở </w:t>
      </w:r>
      <w:r w:rsidR="007C08ED">
        <w:rPr>
          <w:rFonts w:ascii="Arial" w:hAnsi="Arial" w:cs="Arial"/>
          <w:color w:val="000000" w:themeColor="text1"/>
          <w:sz w:val="20"/>
          <w:szCs w:val="20"/>
          <w:lang w:val="en-US"/>
        </w:rPr>
        <w:t>hữu</w:t>
      </w:r>
      <w:r w:rsidRPr="006961D9">
        <w:rPr>
          <w:rFonts w:ascii="Arial" w:hAnsi="Arial" w:cs="Arial"/>
          <w:color w:val="000000" w:themeColor="text1"/>
          <w:sz w:val="20"/>
          <w:szCs w:val="20"/>
        </w:rPr>
        <w:t xml:space="preserve"> nhà ở có cam kết thanh toán tiền điện trong trường </w:t>
      </w:r>
      <w:r w:rsidR="007C08ED">
        <w:rPr>
          <w:rFonts w:ascii="Arial" w:hAnsi="Arial" w:cs="Arial"/>
          <w:color w:val="000000" w:themeColor="text1"/>
          <w:sz w:val="20"/>
          <w:szCs w:val="20"/>
          <w:lang w:val="en-US"/>
        </w:rPr>
        <w:t>hợp</w:t>
      </w:r>
      <w:r w:rsidRPr="006961D9">
        <w:rPr>
          <w:rFonts w:ascii="Arial" w:hAnsi="Arial" w:cs="Arial"/>
          <w:color w:val="000000" w:themeColor="text1"/>
          <w:sz w:val="20"/>
          <w:szCs w:val="20"/>
        </w:rPr>
        <w:t xml:space="preserve"> ngườ</w:t>
      </w:r>
      <w:r w:rsidR="007C08ED">
        <w:rPr>
          <w:rFonts w:ascii="Arial" w:hAnsi="Arial" w:cs="Arial"/>
          <w:color w:val="000000" w:themeColor="text1"/>
          <w:sz w:val="20"/>
          <w:szCs w:val="20"/>
        </w:rPr>
        <w:t>i thuê nhà được ủy quyền chủ th</w:t>
      </w:r>
      <w:r w:rsidR="007C08ED">
        <w:rPr>
          <w:rFonts w:ascii="Arial" w:hAnsi="Arial" w:cs="Arial"/>
          <w:color w:val="000000" w:themeColor="text1"/>
          <w:sz w:val="20"/>
          <w:szCs w:val="20"/>
          <w:lang w:val="en-US"/>
        </w:rPr>
        <w:t>ể</w:t>
      </w:r>
      <w:r w:rsidRPr="006961D9">
        <w:rPr>
          <w:rFonts w:ascii="Arial" w:hAnsi="Arial" w:cs="Arial"/>
          <w:color w:val="000000" w:themeColor="text1"/>
          <w:sz w:val="20"/>
          <w:szCs w:val="20"/>
        </w:rPr>
        <w:t xml:space="preserve"> giao k</w:t>
      </w:r>
      <w:r w:rsidR="007C08ED">
        <w:rPr>
          <w:rFonts w:ascii="Arial" w:hAnsi="Arial" w:cs="Arial"/>
          <w:color w:val="000000" w:themeColor="text1"/>
          <w:sz w:val="20"/>
          <w:szCs w:val="20"/>
        </w:rPr>
        <w:t>ết hợp đồng không thực hiện ngh</w:t>
      </w:r>
      <w:r w:rsidR="007C08ED">
        <w:rPr>
          <w:rFonts w:ascii="Arial" w:hAnsi="Arial" w:cs="Arial"/>
          <w:color w:val="000000" w:themeColor="text1"/>
          <w:sz w:val="20"/>
          <w:szCs w:val="20"/>
          <w:lang w:val="en-US"/>
        </w:rPr>
        <w:t>ĩ</w:t>
      </w:r>
      <w:r w:rsidRPr="006961D9">
        <w:rPr>
          <w:rFonts w:ascii="Arial" w:hAnsi="Arial" w:cs="Arial"/>
          <w:color w:val="000000" w:themeColor="text1"/>
          <w:sz w:val="20"/>
          <w:szCs w:val="20"/>
        </w:rPr>
        <w:t>a vụ thanh toán tiền điện;</w:t>
      </w:r>
      <w:bookmarkStart w:id="29" w:name="bookmark28"/>
      <w:bookmarkEnd w:id="29"/>
    </w:p>
    <w:p w:rsidR="00B4427B" w:rsidRDefault="00C02D17" w:rsidP="00B4427B">
      <w:pPr>
        <w:pStyle w:val="Vnbnnidung0"/>
        <w:spacing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e) </w:t>
      </w:r>
      <w:r w:rsidR="0035508A" w:rsidRPr="006961D9">
        <w:rPr>
          <w:rFonts w:ascii="Arial" w:hAnsi="Arial" w:cs="Arial"/>
          <w:color w:val="000000" w:themeColor="text1"/>
          <w:sz w:val="20"/>
          <w:szCs w:val="20"/>
        </w:rPr>
        <w:t>Tại một địa điểm đăng ký mua điện, bên mua điện là một hộ gia đình thì chỉ được giao kết 01 hợp đồng.</w:t>
      </w:r>
      <w:bookmarkStart w:id="30" w:name="bookmark29"/>
      <w:bookmarkEnd w:id="30"/>
    </w:p>
    <w:p w:rsidR="00D45E9E" w:rsidRDefault="00B4427B" w:rsidP="00D45E9E">
      <w:pPr>
        <w:pStyle w:val="Vnbnnidung0"/>
        <w:spacing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2. </w:t>
      </w:r>
      <w:r w:rsidR="0035508A" w:rsidRPr="006961D9">
        <w:rPr>
          <w:rFonts w:ascii="Arial" w:hAnsi="Arial" w:cs="Arial"/>
          <w:color w:val="000000" w:themeColor="text1"/>
          <w:sz w:val="20"/>
          <w:szCs w:val="20"/>
        </w:rPr>
        <w:t xml:space="preserve">Bên mua điện lập hồ sơ đề nghị giao kết hợp đồng mua bán điện phục vụ mục đích sinh hoạt </w:t>
      </w:r>
      <w:r w:rsidR="000663E6">
        <w:rPr>
          <w:rFonts w:ascii="Arial" w:hAnsi="Arial" w:cs="Arial"/>
          <w:color w:val="000000" w:themeColor="text1"/>
          <w:sz w:val="20"/>
          <w:szCs w:val="20"/>
          <w:lang w:val="en-US"/>
        </w:rPr>
        <w:t>bằng văn</w:t>
      </w:r>
      <w:r w:rsidR="000663E6">
        <w:rPr>
          <w:rFonts w:ascii="Arial" w:hAnsi="Arial" w:cs="Arial"/>
          <w:color w:val="000000" w:themeColor="text1"/>
          <w:sz w:val="20"/>
          <w:szCs w:val="20"/>
        </w:rPr>
        <w:t xml:space="preserve"> bản giấy hoặc hình thức thôn</w:t>
      </w:r>
      <w:r w:rsidR="000663E6">
        <w:rPr>
          <w:rFonts w:ascii="Arial" w:hAnsi="Arial" w:cs="Arial"/>
          <w:color w:val="000000" w:themeColor="text1"/>
          <w:sz w:val="20"/>
          <w:szCs w:val="20"/>
          <w:lang w:val="en-US"/>
        </w:rPr>
        <w:t>g</w:t>
      </w:r>
      <w:r w:rsidR="0035508A" w:rsidRPr="006961D9">
        <w:rPr>
          <w:rFonts w:ascii="Arial" w:hAnsi="Arial" w:cs="Arial"/>
          <w:color w:val="000000" w:themeColor="text1"/>
          <w:sz w:val="20"/>
          <w:szCs w:val="20"/>
        </w:rPr>
        <w:t xml:space="preserve"> điệp dữ liệu có giá trị như văn bản theo quy định của pháp luật, gửi 01 bộ </w:t>
      </w:r>
      <w:r w:rsidR="00D45E9E">
        <w:rPr>
          <w:rFonts w:ascii="Arial" w:hAnsi="Arial" w:cs="Arial"/>
          <w:color w:val="000000" w:themeColor="text1"/>
          <w:sz w:val="20"/>
          <w:szCs w:val="20"/>
          <w:lang w:val="en-US"/>
        </w:rPr>
        <w:t>hồ</w:t>
      </w:r>
      <w:r w:rsidR="0035508A" w:rsidRPr="006961D9">
        <w:rPr>
          <w:rFonts w:ascii="Arial" w:hAnsi="Arial" w:cs="Arial"/>
          <w:color w:val="000000" w:themeColor="text1"/>
          <w:sz w:val="20"/>
          <w:szCs w:val="20"/>
        </w:rPr>
        <w:t xml:space="preserve"> sơ tới bên bán điện trong trường hợp bằng văn bản giấy. Hồ sơ đề nghị giao kết hợp đồng mua bán điện bao gồm các giấy tờ, tài liệu sau đây:</w:t>
      </w:r>
      <w:bookmarkStart w:id="31" w:name="bookmark30"/>
      <w:bookmarkEnd w:id="31"/>
    </w:p>
    <w:p w:rsidR="0056480C" w:rsidRDefault="00D45E9E" w:rsidP="0056480C">
      <w:pPr>
        <w:pStyle w:val="Vnbnnidung0"/>
        <w:spacing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a) </w:t>
      </w:r>
      <w:r w:rsidR="0035508A" w:rsidRPr="006961D9">
        <w:rPr>
          <w:rFonts w:ascii="Arial" w:hAnsi="Arial" w:cs="Arial"/>
          <w:color w:val="000000" w:themeColor="text1"/>
          <w:sz w:val="20"/>
          <w:szCs w:val="20"/>
        </w:rPr>
        <w:t>Đề nghị giao kết hợp đồng mua bán điện phục vụ mục đích sinh hoạt;</w:t>
      </w:r>
      <w:bookmarkStart w:id="32" w:name="bookmark31"/>
      <w:bookmarkEnd w:id="32"/>
    </w:p>
    <w:p w:rsidR="004D20FE" w:rsidRDefault="0056480C" w:rsidP="004D20FE">
      <w:pPr>
        <w:pStyle w:val="Vnbnnidung0"/>
        <w:spacing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b) </w:t>
      </w:r>
      <w:r w:rsidR="0035508A" w:rsidRPr="006961D9">
        <w:rPr>
          <w:rFonts w:ascii="Arial" w:hAnsi="Arial" w:cs="Arial"/>
          <w:color w:val="000000" w:themeColor="text1"/>
          <w:sz w:val="20"/>
          <w:szCs w:val="20"/>
        </w:rPr>
        <w:t>Số định danh cá nhân của người đại diện theo pháp luật hoặc theo ủy quyền của bên mua điện do Cơ sở dữ liệu quốc gia về dân cư xác lập. Trong trường hợp không tra</w:t>
      </w:r>
      <w:r w:rsidR="00D228AF">
        <w:rPr>
          <w:rFonts w:ascii="Arial" w:hAnsi="Arial" w:cs="Arial"/>
          <w:color w:val="000000" w:themeColor="text1"/>
          <w:sz w:val="20"/>
          <w:szCs w:val="20"/>
        </w:rPr>
        <w:t xml:space="preserve"> cứu được trên Cơ sở dữ liệu qu</w:t>
      </w:r>
      <w:r w:rsidR="00D228AF">
        <w:rPr>
          <w:rFonts w:ascii="Arial" w:hAnsi="Arial" w:cs="Arial"/>
          <w:color w:val="000000" w:themeColor="text1"/>
          <w:sz w:val="20"/>
          <w:szCs w:val="20"/>
          <w:lang w:val="en-US"/>
        </w:rPr>
        <w:t>ố</w:t>
      </w:r>
      <w:r w:rsidR="0035508A" w:rsidRPr="006961D9">
        <w:rPr>
          <w:rFonts w:ascii="Arial" w:hAnsi="Arial" w:cs="Arial"/>
          <w:color w:val="000000" w:themeColor="text1"/>
          <w:sz w:val="20"/>
          <w:szCs w:val="20"/>
        </w:rPr>
        <w:t xml:space="preserve">c gia thì sử dụng bản sao của thẻ căn cước hoặc thẻ căn cước công dân hoặc chứng minh nhân dân hoặc giấy xác nhận thông tin về cư trú của người đại diện bên mua điện có thông tin về cư trú của hộ gia đình tại địa điểm mua điện hoặc một trong </w:t>
      </w:r>
      <w:r w:rsidR="00D228AF">
        <w:rPr>
          <w:rFonts w:ascii="Arial" w:hAnsi="Arial" w:cs="Arial"/>
          <w:color w:val="000000" w:themeColor="text1"/>
          <w:sz w:val="20"/>
          <w:szCs w:val="20"/>
          <w:lang w:val="en-US"/>
        </w:rPr>
        <w:t>số</w:t>
      </w:r>
      <w:r w:rsidR="0035508A" w:rsidRPr="006961D9">
        <w:rPr>
          <w:rFonts w:ascii="Arial" w:hAnsi="Arial" w:cs="Arial"/>
          <w:color w:val="000000" w:themeColor="text1"/>
          <w:sz w:val="20"/>
          <w:szCs w:val="20"/>
        </w:rPr>
        <w:t xml:space="preserve"> các giấy tờ sau: Giấy chứng nhận về quyền sở hữu nhà ở; giấy chứng nhận về quyền sử dụng đất (trên đất đã c</w:t>
      </w:r>
      <w:r w:rsidR="0004414C">
        <w:rPr>
          <w:rFonts w:ascii="Arial" w:hAnsi="Arial" w:cs="Arial"/>
          <w:color w:val="000000" w:themeColor="text1"/>
          <w:sz w:val="20"/>
          <w:szCs w:val="20"/>
        </w:rPr>
        <w:t>ó nhà ở); quyết định ph</w:t>
      </w:r>
      <w:r w:rsidR="0004414C">
        <w:rPr>
          <w:rFonts w:ascii="Arial" w:hAnsi="Arial" w:cs="Arial"/>
          <w:color w:val="000000" w:themeColor="text1"/>
          <w:sz w:val="20"/>
          <w:szCs w:val="20"/>
          <w:lang w:val="en-US"/>
        </w:rPr>
        <w:t>ầ</w:t>
      </w:r>
      <w:r w:rsidR="0035508A" w:rsidRPr="006961D9">
        <w:rPr>
          <w:rFonts w:ascii="Arial" w:hAnsi="Arial" w:cs="Arial"/>
          <w:color w:val="000000" w:themeColor="text1"/>
          <w:sz w:val="20"/>
          <w:szCs w:val="20"/>
        </w:rPr>
        <w:t xml:space="preserve">n nhà; hợp </w:t>
      </w:r>
      <w:r w:rsidR="0004414C">
        <w:rPr>
          <w:rFonts w:ascii="Arial" w:hAnsi="Arial" w:cs="Arial"/>
          <w:color w:val="000000" w:themeColor="text1"/>
          <w:sz w:val="20"/>
          <w:szCs w:val="20"/>
          <w:lang w:val="en-US"/>
        </w:rPr>
        <w:t>đồng</w:t>
      </w:r>
      <w:r w:rsidR="0035508A" w:rsidRPr="006961D9">
        <w:rPr>
          <w:rFonts w:ascii="Arial" w:hAnsi="Arial" w:cs="Arial"/>
          <w:color w:val="000000" w:themeColor="text1"/>
          <w:sz w:val="20"/>
          <w:szCs w:val="20"/>
        </w:rPr>
        <w:t xml:space="preserve"> mua bán nhà; hợp đồng thuê nhà có thời hạn từ 01 năm trở lên hoặc giấy tờ khác chứng minh quyền sở hữu, quản lý, sử dụng địa điểm mua điện có thời hạn từ 01 năm trở lên để đăng ký mua điện.</w:t>
      </w:r>
      <w:bookmarkStart w:id="33" w:name="bookmark32"/>
      <w:bookmarkEnd w:id="33"/>
    </w:p>
    <w:p w:rsidR="007F7247" w:rsidRPr="006961D9" w:rsidRDefault="004D20FE" w:rsidP="004D20FE">
      <w:pPr>
        <w:pStyle w:val="Vnbnnidung0"/>
        <w:spacing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3. </w:t>
      </w:r>
      <w:r w:rsidR="0035508A" w:rsidRPr="006961D9">
        <w:rPr>
          <w:rFonts w:ascii="Arial" w:hAnsi="Arial" w:cs="Arial"/>
          <w:color w:val="000000" w:themeColor="text1"/>
          <w:sz w:val="20"/>
          <w:szCs w:val="20"/>
        </w:rPr>
        <w:t>Bên bán điện phải thực hiện giao kết hợp đồng và cấp điện cho bên mua điện tr</w:t>
      </w:r>
      <w:r w:rsidR="00D93D68">
        <w:rPr>
          <w:rFonts w:ascii="Arial" w:hAnsi="Arial" w:cs="Arial"/>
          <w:color w:val="000000" w:themeColor="text1"/>
          <w:sz w:val="20"/>
          <w:szCs w:val="20"/>
        </w:rPr>
        <w:t>ong thời hạn 07 ngày làm việc k</w:t>
      </w:r>
      <w:r w:rsidR="00D93D68">
        <w:rPr>
          <w:rFonts w:ascii="Arial" w:hAnsi="Arial" w:cs="Arial"/>
          <w:color w:val="000000" w:themeColor="text1"/>
          <w:sz w:val="20"/>
          <w:szCs w:val="20"/>
          <w:lang w:val="en-US"/>
        </w:rPr>
        <w:t>ể</w:t>
      </w:r>
      <w:r w:rsidR="00D93D68">
        <w:rPr>
          <w:rFonts w:ascii="Arial" w:hAnsi="Arial" w:cs="Arial"/>
          <w:color w:val="000000" w:themeColor="text1"/>
          <w:sz w:val="20"/>
          <w:szCs w:val="20"/>
        </w:rPr>
        <w:t xml:space="preserve"> từ ngày các bên </w:t>
      </w:r>
      <w:r w:rsidR="00D93D68">
        <w:rPr>
          <w:rFonts w:ascii="Arial" w:hAnsi="Arial" w:cs="Arial"/>
          <w:color w:val="000000" w:themeColor="text1"/>
          <w:sz w:val="20"/>
          <w:szCs w:val="20"/>
          <w:lang w:val="en-US"/>
        </w:rPr>
        <w:t>đ</w:t>
      </w:r>
      <w:r w:rsidR="0035508A" w:rsidRPr="006961D9">
        <w:rPr>
          <w:rFonts w:ascii="Arial" w:hAnsi="Arial" w:cs="Arial"/>
          <w:color w:val="000000" w:themeColor="text1"/>
          <w:sz w:val="20"/>
          <w:szCs w:val="20"/>
        </w:rPr>
        <w:t>áp ứng quy định tại khoản 1 và khoản 2 Điều này.</w:t>
      </w:r>
    </w:p>
    <w:p w:rsidR="00AC7F47" w:rsidRDefault="0035508A" w:rsidP="00AC7F47">
      <w:pPr>
        <w:pStyle w:val="Vnbnnidung0"/>
        <w:spacing w:line="240" w:lineRule="auto"/>
        <w:ind w:firstLine="720"/>
        <w:jc w:val="both"/>
        <w:rPr>
          <w:rFonts w:ascii="Arial" w:hAnsi="Arial" w:cs="Arial"/>
          <w:color w:val="000000" w:themeColor="text1"/>
          <w:sz w:val="20"/>
          <w:szCs w:val="20"/>
        </w:rPr>
      </w:pPr>
      <w:r w:rsidRPr="006961D9">
        <w:rPr>
          <w:rFonts w:ascii="Arial" w:hAnsi="Arial" w:cs="Arial"/>
          <w:b/>
          <w:bCs/>
          <w:color w:val="000000" w:themeColor="text1"/>
          <w:sz w:val="20"/>
          <w:szCs w:val="20"/>
        </w:rPr>
        <w:t>Điều 7. Ghi chỉ số đo điện năng</w:t>
      </w:r>
      <w:bookmarkStart w:id="34" w:name="bookmark33"/>
      <w:bookmarkEnd w:id="34"/>
    </w:p>
    <w:p w:rsidR="00260CEA" w:rsidRDefault="00AC7F47" w:rsidP="00260CEA">
      <w:pPr>
        <w:pStyle w:val="Vnbnnidung0"/>
        <w:spacing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1. </w:t>
      </w:r>
      <w:r w:rsidR="0035508A" w:rsidRPr="006961D9">
        <w:rPr>
          <w:rFonts w:ascii="Arial" w:hAnsi="Arial" w:cs="Arial"/>
          <w:color w:val="000000" w:themeColor="text1"/>
          <w:sz w:val="20"/>
          <w:szCs w:val="20"/>
        </w:rPr>
        <w:t xml:space="preserve">Đối với việc mua bán điện sử dụng cho mục đích sinh hoạt, bên bán điện ghi chỉ số đo điện </w:t>
      </w:r>
      <w:r w:rsidR="0035508A" w:rsidRPr="006961D9">
        <w:rPr>
          <w:rFonts w:ascii="Arial" w:hAnsi="Arial" w:cs="Arial"/>
          <w:color w:val="000000" w:themeColor="text1"/>
          <w:sz w:val="20"/>
          <w:szCs w:val="20"/>
        </w:rPr>
        <w:lastRenderedPageBreak/>
        <w:t xml:space="preserve">năng </w:t>
      </w:r>
      <w:r w:rsidR="00DB2CF0">
        <w:rPr>
          <w:rFonts w:ascii="Arial" w:hAnsi="Arial" w:cs="Arial"/>
          <w:color w:val="000000" w:themeColor="text1"/>
          <w:sz w:val="20"/>
          <w:szCs w:val="20"/>
          <w:lang w:val="en-US"/>
        </w:rPr>
        <w:t>mỗi</w:t>
      </w:r>
      <w:r w:rsidR="0035508A" w:rsidRPr="006961D9">
        <w:rPr>
          <w:rFonts w:ascii="Arial" w:hAnsi="Arial" w:cs="Arial"/>
          <w:color w:val="000000" w:themeColor="text1"/>
          <w:sz w:val="20"/>
          <w:szCs w:val="20"/>
        </w:rPr>
        <w:t xml:space="preserve"> tháng 01 lần vào ngày ấn định do</w:t>
      </w:r>
      <w:r w:rsidR="00924AA6">
        <w:rPr>
          <w:rFonts w:ascii="Arial" w:hAnsi="Arial" w:cs="Arial"/>
          <w:color w:val="000000" w:themeColor="text1"/>
          <w:sz w:val="20"/>
          <w:szCs w:val="20"/>
        </w:rPr>
        <w:t xml:space="preserve"> hai bên thỏa thuận trong hợp đ</w:t>
      </w:r>
      <w:r w:rsidR="00924AA6">
        <w:rPr>
          <w:rFonts w:ascii="Arial" w:hAnsi="Arial" w:cs="Arial"/>
          <w:color w:val="000000" w:themeColor="text1"/>
          <w:sz w:val="20"/>
          <w:szCs w:val="20"/>
          <w:lang w:val="en-US"/>
        </w:rPr>
        <w:t>ồ</w:t>
      </w:r>
      <w:r w:rsidR="0035508A" w:rsidRPr="006961D9">
        <w:rPr>
          <w:rFonts w:ascii="Arial" w:hAnsi="Arial" w:cs="Arial"/>
          <w:color w:val="000000" w:themeColor="text1"/>
          <w:sz w:val="20"/>
          <w:szCs w:val="20"/>
        </w:rPr>
        <w:t>ng mua bán điện, trừ trường hợp bất khả kháng có nguy cơ mất an toàn cho người lao động quy định trong hợp đồng mua bán điện. Cho phép dịch chuyển thời điểm ghi chỉ số đo điện năng trước hoặc sau 01 ngày so với ngày ấn định hoặc dịch chuyển theo thỏa thuận trong hợp đồng mua bán điện.</w:t>
      </w:r>
      <w:bookmarkStart w:id="35" w:name="bookmark34"/>
      <w:bookmarkEnd w:id="35"/>
    </w:p>
    <w:p w:rsidR="00274B73" w:rsidRDefault="00260CEA" w:rsidP="00274B73">
      <w:pPr>
        <w:pStyle w:val="Vnbnnidung0"/>
        <w:spacing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2. </w:t>
      </w:r>
      <w:r w:rsidR="0035508A" w:rsidRPr="006961D9">
        <w:rPr>
          <w:rFonts w:ascii="Arial" w:hAnsi="Arial" w:cs="Arial"/>
          <w:color w:val="000000" w:themeColor="text1"/>
          <w:sz w:val="20"/>
          <w:szCs w:val="20"/>
        </w:rPr>
        <w:t xml:space="preserve">Đối với việc mua bán điện sử dụng ngoài mục đích sinh hoạt, bên mua điện và bên bán điện được phép thỏa thuận số lần ghi chỉ số đo điện năng trong tháng. Trường hợp hai bên không thỏa thuận được, việc ghi chỉ </w:t>
      </w:r>
      <w:r w:rsidR="00390DCC">
        <w:rPr>
          <w:rFonts w:ascii="Arial" w:hAnsi="Arial" w:cs="Arial"/>
          <w:color w:val="000000" w:themeColor="text1"/>
          <w:sz w:val="20"/>
          <w:szCs w:val="20"/>
        </w:rPr>
        <w:t>số đo điện năng được quy định c</w:t>
      </w:r>
      <w:r w:rsidR="00390DCC">
        <w:rPr>
          <w:rFonts w:ascii="Arial" w:hAnsi="Arial" w:cs="Arial"/>
          <w:color w:val="000000" w:themeColor="text1"/>
          <w:sz w:val="20"/>
          <w:szCs w:val="20"/>
          <w:lang w:val="en-US"/>
        </w:rPr>
        <w:t>ă</w:t>
      </w:r>
      <w:r w:rsidR="0035508A" w:rsidRPr="006961D9">
        <w:rPr>
          <w:rFonts w:ascii="Arial" w:hAnsi="Arial" w:cs="Arial"/>
          <w:color w:val="000000" w:themeColor="text1"/>
          <w:sz w:val="20"/>
          <w:szCs w:val="20"/>
        </w:rPr>
        <w:t>n cứ vào sản lượng điện tiêu thụ bình quân đăng ký trong hợp đồng mua bán điện như sau:</w:t>
      </w:r>
      <w:bookmarkStart w:id="36" w:name="bookmark35"/>
      <w:bookmarkEnd w:id="36"/>
    </w:p>
    <w:p w:rsidR="00274B73" w:rsidRPr="00274B73" w:rsidRDefault="00274B73" w:rsidP="00274B73">
      <w:pPr>
        <w:pStyle w:val="Vnbnnidung0"/>
        <w:spacing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a) </w:t>
      </w:r>
      <w:r w:rsidR="0035508A" w:rsidRPr="006961D9">
        <w:rPr>
          <w:rFonts w:ascii="Arial" w:hAnsi="Arial" w:cs="Arial"/>
          <w:color w:val="000000" w:themeColor="text1"/>
          <w:sz w:val="20"/>
          <w:szCs w:val="20"/>
        </w:rPr>
        <w:t>Dưới 50.000 kWh/tháng, ghi chỉ số một lần trong một tháng</w:t>
      </w:r>
      <w:bookmarkStart w:id="37" w:name="bookmark36"/>
      <w:bookmarkEnd w:id="37"/>
      <w:r>
        <w:rPr>
          <w:rFonts w:ascii="Arial" w:hAnsi="Arial" w:cs="Arial"/>
          <w:color w:val="000000" w:themeColor="text1"/>
          <w:sz w:val="20"/>
          <w:szCs w:val="20"/>
          <w:lang w:val="en-US"/>
        </w:rPr>
        <w:t>;</w:t>
      </w:r>
    </w:p>
    <w:p w:rsidR="00026401" w:rsidRDefault="00274B73" w:rsidP="00026401">
      <w:pPr>
        <w:pStyle w:val="Vnbnnidung0"/>
        <w:spacing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b) </w:t>
      </w:r>
      <w:r w:rsidR="0035508A" w:rsidRPr="006961D9">
        <w:rPr>
          <w:rFonts w:ascii="Arial" w:hAnsi="Arial" w:cs="Arial"/>
          <w:color w:val="000000" w:themeColor="text1"/>
          <w:sz w:val="20"/>
          <w:szCs w:val="20"/>
        </w:rPr>
        <w:t>Từ 50.000 đến 100.000 kWh/tháng, ghi chỉ số hai lần trong một tháng;</w:t>
      </w:r>
      <w:bookmarkStart w:id="38" w:name="bookmark37"/>
      <w:bookmarkEnd w:id="38"/>
    </w:p>
    <w:p w:rsidR="00072BF7" w:rsidRDefault="00026401" w:rsidP="00072BF7">
      <w:pPr>
        <w:pStyle w:val="Vnbnnidung0"/>
        <w:spacing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c) </w:t>
      </w:r>
      <w:r w:rsidR="0035508A" w:rsidRPr="006961D9">
        <w:rPr>
          <w:rFonts w:ascii="Arial" w:hAnsi="Arial" w:cs="Arial"/>
          <w:color w:val="000000" w:themeColor="text1"/>
          <w:sz w:val="20"/>
          <w:szCs w:val="20"/>
        </w:rPr>
        <w:t>Trên 100</w:t>
      </w:r>
      <w:r w:rsidR="00072BF7">
        <w:rPr>
          <w:rFonts w:ascii="Arial" w:hAnsi="Arial" w:cs="Arial"/>
          <w:color w:val="000000" w:themeColor="text1"/>
          <w:sz w:val="20"/>
          <w:szCs w:val="20"/>
        </w:rPr>
        <w:t>.000 kWh/tháng, ghi chỉ số ba l</w:t>
      </w:r>
      <w:r w:rsidR="00072BF7">
        <w:rPr>
          <w:rFonts w:ascii="Arial" w:hAnsi="Arial" w:cs="Arial"/>
          <w:color w:val="000000" w:themeColor="text1"/>
          <w:sz w:val="20"/>
          <w:szCs w:val="20"/>
          <w:lang w:val="en-US"/>
        </w:rPr>
        <w:t>ầ</w:t>
      </w:r>
      <w:r w:rsidR="0035508A" w:rsidRPr="006961D9">
        <w:rPr>
          <w:rFonts w:ascii="Arial" w:hAnsi="Arial" w:cs="Arial"/>
          <w:color w:val="000000" w:themeColor="text1"/>
          <w:sz w:val="20"/>
          <w:szCs w:val="20"/>
        </w:rPr>
        <w:t>n trong một tháng.</w:t>
      </w:r>
      <w:bookmarkStart w:id="39" w:name="bookmark38"/>
      <w:bookmarkEnd w:id="39"/>
    </w:p>
    <w:p w:rsidR="00846557" w:rsidRDefault="00072BF7" w:rsidP="00846557">
      <w:pPr>
        <w:pStyle w:val="Vnbnnidung0"/>
        <w:spacing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3. </w:t>
      </w:r>
      <w:r w:rsidR="0035508A" w:rsidRPr="006961D9">
        <w:rPr>
          <w:rFonts w:ascii="Arial" w:hAnsi="Arial" w:cs="Arial"/>
          <w:color w:val="000000" w:themeColor="text1"/>
          <w:sz w:val="20"/>
          <w:szCs w:val="20"/>
        </w:rPr>
        <w:t>Trong trường hợp sản lượn</w:t>
      </w:r>
      <w:r w:rsidR="0074296C">
        <w:rPr>
          <w:rFonts w:ascii="Arial" w:hAnsi="Arial" w:cs="Arial"/>
          <w:color w:val="000000" w:themeColor="text1"/>
          <w:sz w:val="20"/>
          <w:szCs w:val="20"/>
        </w:rPr>
        <w:t>g điện tiêu thụ thực tế bình qu</w:t>
      </w:r>
      <w:r w:rsidR="0074296C">
        <w:rPr>
          <w:rFonts w:ascii="Arial" w:hAnsi="Arial" w:cs="Arial"/>
          <w:color w:val="000000" w:themeColor="text1"/>
          <w:sz w:val="20"/>
          <w:szCs w:val="20"/>
          <w:lang w:val="en-US"/>
        </w:rPr>
        <w:t>â</w:t>
      </w:r>
      <w:r w:rsidR="0035508A" w:rsidRPr="006961D9">
        <w:rPr>
          <w:rFonts w:ascii="Arial" w:hAnsi="Arial" w:cs="Arial"/>
          <w:color w:val="000000" w:themeColor="text1"/>
          <w:sz w:val="20"/>
          <w:szCs w:val="20"/>
        </w:rPr>
        <w:t>n của bên mua điện cho mục đích ngoài sinh hoạt trong ba tháng gần nhất vượt quá hoặc thấp hơn các ngưỡng tiêu thụ tương ứng với số lần ghi chỉ số đa</w:t>
      </w:r>
      <w:r w:rsidR="00FF54F3">
        <w:rPr>
          <w:rFonts w:ascii="Arial" w:hAnsi="Arial" w:cs="Arial"/>
          <w:color w:val="000000" w:themeColor="text1"/>
          <w:sz w:val="20"/>
          <w:szCs w:val="20"/>
        </w:rPr>
        <w:t>ng áp dụng theo quy định tại đi</w:t>
      </w:r>
      <w:r w:rsidR="00FF54F3">
        <w:rPr>
          <w:rFonts w:ascii="Arial" w:hAnsi="Arial" w:cs="Arial"/>
          <w:color w:val="000000" w:themeColor="text1"/>
          <w:sz w:val="20"/>
          <w:szCs w:val="20"/>
          <w:lang w:val="en-US"/>
        </w:rPr>
        <w:t>ể</w:t>
      </w:r>
      <w:r w:rsidR="00FF54F3">
        <w:rPr>
          <w:rFonts w:ascii="Arial" w:hAnsi="Arial" w:cs="Arial"/>
          <w:color w:val="000000" w:themeColor="text1"/>
          <w:sz w:val="20"/>
          <w:szCs w:val="20"/>
        </w:rPr>
        <w:t>m a, đi</w:t>
      </w:r>
      <w:r w:rsidR="00FF54F3">
        <w:rPr>
          <w:rFonts w:ascii="Arial" w:hAnsi="Arial" w:cs="Arial"/>
          <w:color w:val="000000" w:themeColor="text1"/>
          <w:sz w:val="20"/>
          <w:szCs w:val="20"/>
          <w:lang w:val="en-US"/>
        </w:rPr>
        <w:t>ể</w:t>
      </w:r>
      <w:r w:rsidR="00FF54F3">
        <w:rPr>
          <w:rFonts w:ascii="Arial" w:hAnsi="Arial" w:cs="Arial"/>
          <w:color w:val="000000" w:themeColor="text1"/>
          <w:sz w:val="20"/>
          <w:szCs w:val="20"/>
        </w:rPr>
        <w:t>m b và đi</w:t>
      </w:r>
      <w:r w:rsidR="00FF54F3">
        <w:rPr>
          <w:rFonts w:ascii="Arial" w:hAnsi="Arial" w:cs="Arial"/>
          <w:color w:val="000000" w:themeColor="text1"/>
          <w:sz w:val="20"/>
          <w:szCs w:val="20"/>
          <w:lang w:val="en-US"/>
        </w:rPr>
        <w:t>ể</w:t>
      </w:r>
      <w:r w:rsidR="00FF54F3">
        <w:rPr>
          <w:rFonts w:ascii="Arial" w:hAnsi="Arial" w:cs="Arial"/>
          <w:color w:val="000000" w:themeColor="text1"/>
          <w:sz w:val="20"/>
          <w:szCs w:val="20"/>
        </w:rPr>
        <w:t>m c khoản 2 Đi</w:t>
      </w:r>
      <w:r w:rsidR="00FF54F3">
        <w:rPr>
          <w:rFonts w:ascii="Arial" w:hAnsi="Arial" w:cs="Arial"/>
          <w:color w:val="000000" w:themeColor="text1"/>
          <w:sz w:val="20"/>
          <w:szCs w:val="20"/>
          <w:lang w:val="en-US"/>
        </w:rPr>
        <w:t>ề</w:t>
      </w:r>
      <w:r w:rsidR="0035508A" w:rsidRPr="006961D9">
        <w:rPr>
          <w:rFonts w:ascii="Arial" w:hAnsi="Arial" w:cs="Arial"/>
          <w:color w:val="000000" w:themeColor="text1"/>
          <w:sz w:val="20"/>
          <w:szCs w:val="20"/>
        </w:rPr>
        <w:t xml:space="preserve">u này, bên bán điện và bên mua điện có quyền thỏa thuận </w:t>
      </w:r>
      <w:r w:rsidR="00846557">
        <w:rPr>
          <w:rFonts w:ascii="Arial" w:hAnsi="Arial" w:cs="Arial"/>
          <w:color w:val="000000" w:themeColor="text1"/>
          <w:sz w:val="20"/>
          <w:szCs w:val="20"/>
          <w:lang w:val="en-US"/>
        </w:rPr>
        <w:t>để</w:t>
      </w:r>
      <w:r w:rsidR="0035508A" w:rsidRPr="006961D9">
        <w:rPr>
          <w:rFonts w:ascii="Arial" w:hAnsi="Arial" w:cs="Arial"/>
          <w:color w:val="000000" w:themeColor="text1"/>
          <w:sz w:val="20"/>
          <w:szCs w:val="20"/>
        </w:rPr>
        <w:t xml:space="preserve"> điều chỉnh số lần ghi chỉ số đo điện năng.</w:t>
      </w:r>
      <w:bookmarkStart w:id="40" w:name="bookmark39"/>
      <w:bookmarkEnd w:id="40"/>
    </w:p>
    <w:p w:rsidR="001A6D9C" w:rsidRDefault="00846557" w:rsidP="001A6D9C">
      <w:pPr>
        <w:pStyle w:val="Vnbnnidung0"/>
        <w:spacing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4. </w:t>
      </w:r>
      <w:r w:rsidR="0035508A" w:rsidRPr="006961D9">
        <w:rPr>
          <w:rFonts w:ascii="Arial" w:hAnsi="Arial" w:cs="Arial"/>
          <w:color w:val="000000" w:themeColor="text1"/>
          <w:sz w:val="20"/>
          <w:szCs w:val="20"/>
        </w:rPr>
        <w:t>Đối với bên mua điện sử dụng điện năng ít hơn 15 kWh/tháng, chu kỳ ghi chỉ số đo điện năng do hai bên thỏa thuận.</w:t>
      </w:r>
      <w:bookmarkStart w:id="41" w:name="bookmark40"/>
      <w:bookmarkEnd w:id="41"/>
    </w:p>
    <w:p w:rsidR="00DA03B7" w:rsidRDefault="001A6D9C" w:rsidP="00DA03B7">
      <w:pPr>
        <w:pStyle w:val="Vnbnnidung0"/>
        <w:spacing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5. </w:t>
      </w:r>
      <w:r w:rsidR="0035508A" w:rsidRPr="006961D9">
        <w:rPr>
          <w:rFonts w:ascii="Arial" w:hAnsi="Arial" w:cs="Arial"/>
          <w:color w:val="000000" w:themeColor="text1"/>
          <w:sz w:val="20"/>
          <w:szCs w:val="20"/>
        </w:rPr>
        <w:t>Đối với việc mua bán buôn điện, việc ghi chỉ số đo điện năng do hai bên thỏa thuận trong hợp đồng</w:t>
      </w:r>
      <w:bookmarkStart w:id="42" w:name="bookmark41"/>
      <w:bookmarkEnd w:id="42"/>
      <w:r w:rsidR="00DA03B7">
        <w:rPr>
          <w:rFonts w:ascii="Arial" w:hAnsi="Arial" w:cs="Arial"/>
          <w:color w:val="000000" w:themeColor="text1"/>
          <w:sz w:val="20"/>
          <w:szCs w:val="20"/>
          <w:lang w:val="en-US"/>
        </w:rPr>
        <w:t>.</w:t>
      </w:r>
    </w:p>
    <w:p w:rsidR="007F7247" w:rsidRDefault="00DA03B7" w:rsidP="00E52F42">
      <w:pPr>
        <w:pStyle w:val="Vnbnnidung0"/>
        <w:spacing w:after="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6. </w:t>
      </w:r>
      <w:r w:rsidR="0035508A" w:rsidRPr="006961D9">
        <w:rPr>
          <w:rFonts w:ascii="Arial" w:hAnsi="Arial" w:cs="Arial"/>
          <w:color w:val="000000" w:themeColor="text1"/>
          <w:sz w:val="20"/>
          <w:szCs w:val="20"/>
        </w:rPr>
        <w:t>Bên bán điện phải bảo đảm tính chính xác của chỉ số đo điện năng đã ghi.</w:t>
      </w:r>
    </w:p>
    <w:p w:rsidR="00E52F42" w:rsidRPr="006961D9" w:rsidRDefault="00E52F42" w:rsidP="00E52F42">
      <w:pPr>
        <w:pStyle w:val="Vnbnnidung0"/>
        <w:spacing w:after="0" w:line="240" w:lineRule="auto"/>
        <w:ind w:firstLine="0"/>
        <w:jc w:val="center"/>
        <w:rPr>
          <w:rFonts w:ascii="Arial" w:hAnsi="Arial" w:cs="Arial"/>
          <w:color w:val="000000" w:themeColor="text1"/>
          <w:sz w:val="20"/>
          <w:szCs w:val="20"/>
        </w:rPr>
      </w:pPr>
    </w:p>
    <w:p w:rsidR="007F7247" w:rsidRPr="006961D9" w:rsidRDefault="0035508A" w:rsidP="00E52F42">
      <w:pPr>
        <w:pStyle w:val="Vnbnnidung0"/>
        <w:spacing w:after="0" w:line="240" w:lineRule="auto"/>
        <w:ind w:firstLine="0"/>
        <w:jc w:val="center"/>
        <w:rPr>
          <w:rFonts w:ascii="Arial" w:hAnsi="Arial" w:cs="Arial"/>
          <w:color w:val="000000" w:themeColor="text1"/>
          <w:sz w:val="20"/>
          <w:szCs w:val="20"/>
        </w:rPr>
      </w:pPr>
      <w:r w:rsidRPr="006961D9">
        <w:rPr>
          <w:rFonts w:ascii="Arial" w:hAnsi="Arial" w:cs="Arial"/>
          <w:b/>
          <w:bCs/>
          <w:color w:val="000000" w:themeColor="text1"/>
          <w:sz w:val="20"/>
          <w:szCs w:val="20"/>
        </w:rPr>
        <w:t>Chương III</w:t>
      </w:r>
    </w:p>
    <w:p w:rsidR="00E52F42" w:rsidRDefault="0035508A" w:rsidP="00E52F42">
      <w:pPr>
        <w:pStyle w:val="Vnbnnidung0"/>
        <w:spacing w:after="0" w:line="240" w:lineRule="auto"/>
        <w:ind w:firstLine="0"/>
        <w:jc w:val="center"/>
        <w:rPr>
          <w:rFonts w:ascii="Arial" w:hAnsi="Arial" w:cs="Arial"/>
          <w:b/>
          <w:bCs/>
          <w:color w:val="000000" w:themeColor="text1"/>
          <w:sz w:val="20"/>
          <w:szCs w:val="20"/>
        </w:rPr>
      </w:pPr>
      <w:r w:rsidRPr="006961D9">
        <w:rPr>
          <w:rFonts w:ascii="Arial" w:hAnsi="Arial" w:cs="Arial"/>
          <w:b/>
          <w:bCs/>
          <w:color w:val="000000" w:themeColor="text1"/>
          <w:sz w:val="20"/>
          <w:szCs w:val="20"/>
        </w:rPr>
        <w:t xml:space="preserve">TÌNH </w:t>
      </w:r>
      <w:r w:rsidR="00E52F42">
        <w:rPr>
          <w:rFonts w:ascii="Arial" w:hAnsi="Arial" w:cs="Arial"/>
          <w:b/>
          <w:bCs/>
          <w:color w:val="000000" w:themeColor="text1"/>
          <w:sz w:val="20"/>
          <w:szCs w:val="20"/>
          <w:lang w:val="en-US"/>
        </w:rPr>
        <w:t>HUỐNG</w:t>
      </w:r>
      <w:r w:rsidR="00E52F42">
        <w:rPr>
          <w:rFonts w:ascii="Arial" w:hAnsi="Arial" w:cs="Arial"/>
          <w:b/>
          <w:bCs/>
          <w:color w:val="000000" w:themeColor="text1"/>
          <w:sz w:val="20"/>
          <w:szCs w:val="20"/>
        </w:rPr>
        <w:t xml:space="preserve"> C</w:t>
      </w:r>
      <w:r w:rsidR="00E52F42">
        <w:rPr>
          <w:rFonts w:ascii="Arial" w:hAnsi="Arial" w:cs="Arial"/>
          <w:b/>
          <w:bCs/>
          <w:color w:val="000000" w:themeColor="text1"/>
          <w:sz w:val="20"/>
          <w:szCs w:val="20"/>
          <w:lang w:val="en-US"/>
        </w:rPr>
        <w:t>Ấ</w:t>
      </w:r>
      <w:r w:rsidR="00E52F42">
        <w:rPr>
          <w:rFonts w:ascii="Arial" w:hAnsi="Arial" w:cs="Arial"/>
          <w:b/>
          <w:bCs/>
          <w:color w:val="000000" w:themeColor="text1"/>
          <w:sz w:val="20"/>
          <w:szCs w:val="20"/>
        </w:rPr>
        <w:t>P BÁCH ĐE DỌA NGHIÊM TRỌNG</w:t>
      </w:r>
    </w:p>
    <w:p w:rsidR="007F7247" w:rsidRDefault="0035508A" w:rsidP="00E52F42">
      <w:pPr>
        <w:pStyle w:val="Vnbnnidung0"/>
        <w:spacing w:after="0" w:line="240" w:lineRule="auto"/>
        <w:ind w:firstLine="0"/>
        <w:jc w:val="center"/>
        <w:rPr>
          <w:rFonts w:ascii="Arial" w:hAnsi="Arial" w:cs="Arial"/>
          <w:b/>
          <w:bCs/>
          <w:color w:val="000000" w:themeColor="text1"/>
          <w:sz w:val="20"/>
          <w:szCs w:val="20"/>
        </w:rPr>
      </w:pPr>
      <w:r w:rsidRPr="006961D9">
        <w:rPr>
          <w:rFonts w:ascii="Arial" w:hAnsi="Arial" w:cs="Arial"/>
          <w:b/>
          <w:bCs/>
          <w:color w:val="000000" w:themeColor="text1"/>
          <w:sz w:val="20"/>
          <w:szCs w:val="20"/>
        </w:rPr>
        <w:t>ĐẾN KHẢ NĂNG BẢO ĐẢM CUNG CẤP ĐIỆN</w:t>
      </w:r>
    </w:p>
    <w:p w:rsidR="00E52F42" w:rsidRPr="006961D9" w:rsidRDefault="00E52F42" w:rsidP="00E52F42">
      <w:pPr>
        <w:pStyle w:val="Vnbnnidung0"/>
        <w:spacing w:after="0" w:line="240" w:lineRule="auto"/>
        <w:ind w:firstLine="0"/>
        <w:jc w:val="center"/>
        <w:rPr>
          <w:rFonts w:ascii="Arial" w:hAnsi="Arial" w:cs="Arial"/>
          <w:color w:val="000000" w:themeColor="text1"/>
          <w:sz w:val="20"/>
          <w:szCs w:val="20"/>
        </w:rPr>
      </w:pPr>
    </w:p>
    <w:p w:rsidR="00301208" w:rsidRDefault="0035508A" w:rsidP="00301208">
      <w:pPr>
        <w:pStyle w:val="Vnbnnidung0"/>
        <w:spacing w:line="240" w:lineRule="auto"/>
        <w:ind w:firstLine="720"/>
        <w:jc w:val="both"/>
        <w:rPr>
          <w:rFonts w:ascii="Arial" w:hAnsi="Arial" w:cs="Arial"/>
          <w:color w:val="000000" w:themeColor="text1"/>
          <w:sz w:val="20"/>
          <w:szCs w:val="20"/>
        </w:rPr>
      </w:pPr>
      <w:r w:rsidRPr="006961D9">
        <w:rPr>
          <w:rFonts w:ascii="Arial" w:hAnsi="Arial" w:cs="Arial"/>
          <w:b/>
          <w:bCs/>
          <w:color w:val="000000" w:themeColor="text1"/>
          <w:sz w:val="20"/>
          <w:szCs w:val="20"/>
        </w:rPr>
        <w:t>Điều 8. Các tình huống cấp bách đe dọa nghiêm trọng đến khả năng bảo đảm cung cấp điện</w:t>
      </w:r>
      <w:bookmarkStart w:id="43" w:name="bookmark42"/>
      <w:bookmarkEnd w:id="43"/>
    </w:p>
    <w:p w:rsidR="00EE7E07" w:rsidRDefault="00301208" w:rsidP="00EE7E07">
      <w:pPr>
        <w:pStyle w:val="Vnbnnidung0"/>
        <w:spacing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1. </w:t>
      </w:r>
      <w:r w:rsidR="0035508A" w:rsidRPr="006961D9">
        <w:rPr>
          <w:rFonts w:ascii="Arial" w:hAnsi="Arial" w:cs="Arial"/>
          <w:color w:val="000000" w:themeColor="text1"/>
          <w:sz w:val="20"/>
          <w:szCs w:val="20"/>
        </w:rPr>
        <w:t xml:space="preserve">Xảy ra hoặc có nguy cơ xảy ra tình trạng mất cân bằng công suất giữa </w:t>
      </w:r>
      <w:r w:rsidR="00EE7E07">
        <w:rPr>
          <w:rFonts w:ascii="Arial" w:hAnsi="Arial" w:cs="Arial"/>
          <w:color w:val="000000" w:themeColor="text1"/>
          <w:sz w:val="20"/>
          <w:szCs w:val="20"/>
        </w:rPr>
        <w:t>nguồn điện và phụ tải điện d</w:t>
      </w:r>
      <w:r w:rsidR="00EE7E07">
        <w:rPr>
          <w:rFonts w:ascii="Arial" w:hAnsi="Arial" w:cs="Arial"/>
          <w:color w:val="000000" w:themeColor="text1"/>
          <w:sz w:val="20"/>
          <w:szCs w:val="20"/>
          <w:lang w:val="en-US"/>
        </w:rPr>
        <w:t>ẫ</w:t>
      </w:r>
      <w:r w:rsidR="0035508A" w:rsidRPr="006961D9">
        <w:rPr>
          <w:rFonts w:ascii="Arial" w:hAnsi="Arial" w:cs="Arial"/>
          <w:color w:val="000000" w:themeColor="text1"/>
          <w:sz w:val="20"/>
          <w:szCs w:val="20"/>
        </w:rPr>
        <w:t>n tới phải ngừng, giảm mức cung cấp điện được Đơn vị điều độ hệ thống điện quốc gia xác định trong các Phương thức vận hành hệ thống điện.</w:t>
      </w:r>
      <w:bookmarkStart w:id="44" w:name="bookmark43"/>
      <w:bookmarkEnd w:id="44"/>
    </w:p>
    <w:p w:rsidR="0074241D" w:rsidRDefault="00EE7E07" w:rsidP="0074241D">
      <w:pPr>
        <w:pStyle w:val="Vnbnnidung0"/>
        <w:spacing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2. </w:t>
      </w:r>
      <w:r w:rsidR="0035508A" w:rsidRPr="006961D9">
        <w:rPr>
          <w:rFonts w:ascii="Arial" w:hAnsi="Arial" w:cs="Arial"/>
          <w:color w:val="000000" w:themeColor="text1"/>
          <w:sz w:val="20"/>
          <w:szCs w:val="20"/>
        </w:rPr>
        <w:t>Xảy ra hoặc có nguy cơ xảy ra tình trạng thiếu sản lượng điện năng đáp ứng cho phụ tải điện dẫn tới phải ngừng, giảm mức cung cấp điện được Đơn vị điều độ hệ thống điện quốc gia xác định trong các Phương thức vận hành hệ thống điện.</w:t>
      </w:r>
      <w:bookmarkStart w:id="45" w:name="bookmark44"/>
      <w:bookmarkEnd w:id="45"/>
    </w:p>
    <w:p w:rsidR="007F7247" w:rsidRPr="006961D9" w:rsidRDefault="0074241D" w:rsidP="00262524">
      <w:pPr>
        <w:pStyle w:val="Vnbnnidung0"/>
        <w:spacing w:after="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3. </w:t>
      </w:r>
      <w:r w:rsidR="0035508A" w:rsidRPr="006961D9">
        <w:rPr>
          <w:rFonts w:ascii="Arial" w:hAnsi="Arial" w:cs="Arial"/>
          <w:color w:val="000000" w:themeColor="text1"/>
          <w:sz w:val="20"/>
          <w:szCs w:val="20"/>
        </w:rPr>
        <w:t>Các tình huống mất khả dụng nguồn điện, sự cố hệ thống truyền tải điện, tăng trưởng đột biến của nhu cầu phụ tải dẫn đến tình trạng mất cân bằng công suất giữa nguồn điện và phụ tải điện.</w:t>
      </w:r>
    </w:p>
    <w:p w:rsidR="00262524" w:rsidRDefault="00262524" w:rsidP="00262524">
      <w:pPr>
        <w:pStyle w:val="Vnbnnidung0"/>
        <w:spacing w:after="0" w:line="240" w:lineRule="auto"/>
        <w:ind w:firstLine="720"/>
        <w:jc w:val="both"/>
        <w:rPr>
          <w:rFonts w:ascii="Arial" w:hAnsi="Arial" w:cs="Arial"/>
          <w:b/>
          <w:bCs/>
          <w:color w:val="000000" w:themeColor="text1"/>
          <w:sz w:val="20"/>
          <w:szCs w:val="20"/>
        </w:rPr>
      </w:pPr>
    </w:p>
    <w:p w:rsidR="00262524" w:rsidRDefault="00262524" w:rsidP="00262524">
      <w:pPr>
        <w:pStyle w:val="Vnbnnidung0"/>
        <w:spacing w:after="0" w:line="240" w:lineRule="auto"/>
        <w:ind w:firstLine="0"/>
        <w:jc w:val="center"/>
        <w:rPr>
          <w:rFonts w:ascii="Arial" w:hAnsi="Arial" w:cs="Arial"/>
          <w:b/>
          <w:bCs/>
          <w:color w:val="000000" w:themeColor="text1"/>
          <w:sz w:val="20"/>
          <w:szCs w:val="20"/>
        </w:rPr>
      </w:pPr>
      <w:r>
        <w:rPr>
          <w:rFonts w:ascii="Arial" w:hAnsi="Arial" w:cs="Arial"/>
          <w:b/>
          <w:bCs/>
          <w:color w:val="000000" w:themeColor="text1"/>
          <w:sz w:val="20"/>
          <w:szCs w:val="20"/>
        </w:rPr>
        <w:t>Chương IV</w:t>
      </w:r>
    </w:p>
    <w:p w:rsidR="007F7247" w:rsidRDefault="0035508A" w:rsidP="00262524">
      <w:pPr>
        <w:pStyle w:val="Vnbnnidung0"/>
        <w:spacing w:after="0" w:line="240" w:lineRule="auto"/>
        <w:ind w:firstLine="0"/>
        <w:jc w:val="center"/>
        <w:rPr>
          <w:rFonts w:ascii="Arial" w:hAnsi="Arial" w:cs="Arial"/>
          <w:b/>
          <w:bCs/>
          <w:color w:val="000000" w:themeColor="text1"/>
          <w:sz w:val="20"/>
          <w:szCs w:val="20"/>
        </w:rPr>
      </w:pPr>
      <w:r w:rsidRPr="006961D9">
        <w:rPr>
          <w:rFonts w:ascii="Arial" w:hAnsi="Arial" w:cs="Arial"/>
          <w:b/>
          <w:bCs/>
          <w:color w:val="000000" w:themeColor="text1"/>
          <w:sz w:val="20"/>
          <w:szCs w:val="20"/>
        </w:rPr>
        <w:t xml:space="preserve">HIỆU </w:t>
      </w:r>
      <w:r w:rsidR="00872E43" w:rsidRPr="006961D9">
        <w:rPr>
          <w:rFonts w:ascii="Arial" w:hAnsi="Arial" w:cs="Arial"/>
          <w:b/>
          <w:bCs/>
          <w:color w:val="000000" w:themeColor="text1"/>
          <w:sz w:val="20"/>
          <w:szCs w:val="20"/>
        </w:rPr>
        <w:t xml:space="preserve">LỰC </w:t>
      </w:r>
      <w:r w:rsidRPr="006961D9">
        <w:rPr>
          <w:rFonts w:ascii="Arial" w:hAnsi="Arial" w:cs="Arial"/>
          <w:b/>
          <w:bCs/>
          <w:color w:val="000000" w:themeColor="text1"/>
          <w:sz w:val="20"/>
          <w:szCs w:val="20"/>
        </w:rPr>
        <w:t>THI HÀNH</w:t>
      </w:r>
    </w:p>
    <w:p w:rsidR="00262524" w:rsidRPr="006961D9" w:rsidRDefault="00262524" w:rsidP="00262524">
      <w:pPr>
        <w:pStyle w:val="Vnbnnidung0"/>
        <w:spacing w:after="0" w:line="240" w:lineRule="auto"/>
        <w:ind w:firstLine="0"/>
        <w:jc w:val="center"/>
        <w:rPr>
          <w:rFonts w:ascii="Arial" w:hAnsi="Arial" w:cs="Arial"/>
          <w:color w:val="000000" w:themeColor="text1"/>
          <w:sz w:val="20"/>
          <w:szCs w:val="20"/>
        </w:rPr>
      </w:pPr>
    </w:p>
    <w:p w:rsidR="00872E43" w:rsidRDefault="0035508A" w:rsidP="00872E43">
      <w:pPr>
        <w:pStyle w:val="Vnbnnidung0"/>
        <w:spacing w:line="240" w:lineRule="auto"/>
        <w:ind w:firstLine="720"/>
        <w:jc w:val="both"/>
        <w:rPr>
          <w:rFonts w:ascii="Arial" w:hAnsi="Arial" w:cs="Arial"/>
          <w:color w:val="000000" w:themeColor="text1"/>
          <w:sz w:val="20"/>
          <w:szCs w:val="20"/>
        </w:rPr>
      </w:pPr>
      <w:r w:rsidRPr="006961D9">
        <w:rPr>
          <w:rFonts w:ascii="Arial" w:hAnsi="Arial" w:cs="Arial"/>
          <w:b/>
          <w:bCs/>
          <w:color w:val="000000" w:themeColor="text1"/>
          <w:sz w:val="20"/>
          <w:szCs w:val="20"/>
        </w:rPr>
        <w:t>Điều 9. Hiệu lực thi hành</w:t>
      </w:r>
      <w:bookmarkStart w:id="46" w:name="bookmark45"/>
      <w:bookmarkEnd w:id="46"/>
    </w:p>
    <w:p w:rsidR="00872E43" w:rsidRDefault="00872E43" w:rsidP="00872E43">
      <w:pPr>
        <w:pStyle w:val="Vnbnnidung0"/>
        <w:spacing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1. </w:t>
      </w:r>
      <w:r w:rsidR="0035508A" w:rsidRPr="006961D9">
        <w:rPr>
          <w:rFonts w:ascii="Arial" w:hAnsi="Arial" w:cs="Arial"/>
          <w:color w:val="000000" w:themeColor="text1"/>
          <w:sz w:val="20"/>
          <w:szCs w:val="20"/>
        </w:rPr>
        <w:t>Nghị định này có hiệu lực thi hành kể từ ngày ký.</w:t>
      </w:r>
      <w:bookmarkStart w:id="47" w:name="bookmark46"/>
      <w:bookmarkEnd w:id="47"/>
    </w:p>
    <w:p w:rsidR="00206910" w:rsidRDefault="00872E43" w:rsidP="00206910">
      <w:pPr>
        <w:pStyle w:val="Vnbnnidung0"/>
        <w:spacing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2. </w:t>
      </w:r>
      <w:r w:rsidR="0035508A" w:rsidRPr="006961D9">
        <w:rPr>
          <w:rFonts w:ascii="Arial" w:hAnsi="Arial" w:cs="Arial"/>
          <w:color w:val="000000" w:themeColor="text1"/>
          <w:sz w:val="20"/>
          <w:szCs w:val="20"/>
        </w:rPr>
        <w:t xml:space="preserve">Các quy định về hợp đồng mua bán điện phục vụ mục đích sinh hoạt quy định tại Điều 11 Nghị định số 137/2013/NĐ-CP đã được sửa đổi, </w:t>
      </w:r>
      <w:r w:rsidR="00891D00">
        <w:rPr>
          <w:rFonts w:ascii="Arial" w:hAnsi="Arial" w:cs="Arial"/>
          <w:color w:val="000000" w:themeColor="text1"/>
          <w:sz w:val="20"/>
          <w:szCs w:val="20"/>
          <w:lang w:val="en-US"/>
        </w:rPr>
        <w:t>bổ</w:t>
      </w:r>
      <w:r w:rsidR="0035508A" w:rsidRPr="006961D9">
        <w:rPr>
          <w:rFonts w:ascii="Arial" w:hAnsi="Arial" w:cs="Arial"/>
          <w:color w:val="000000" w:themeColor="text1"/>
          <w:sz w:val="20"/>
          <w:szCs w:val="20"/>
        </w:rPr>
        <w:t xml:space="preserve"> sung theo quy định tại Điều 8 Nghị định số 104/2022/NĐ-CP và quy định về bảo đảm thực hiện hợp đồng mua bán điện, chất lượng điện năng, ghi </w:t>
      </w:r>
      <w:r w:rsidR="00206910">
        <w:rPr>
          <w:rFonts w:ascii="Arial" w:hAnsi="Arial" w:cs="Arial"/>
          <w:color w:val="000000" w:themeColor="text1"/>
          <w:sz w:val="20"/>
          <w:szCs w:val="20"/>
          <w:lang w:val="en-US"/>
        </w:rPr>
        <w:t>chỉ</w:t>
      </w:r>
      <w:r w:rsidR="0035508A" w:rsidRPr="006961D9">
        <w:rPr>
          <w:rFonts w:ascii="Arial" w:hAnsi="Arial" w:cs="Arial"/>
          <w:color w:val="000000" w:themeColor="text1"/>
          <w:sz w:val="20"/>
          <w:szCs w:val="20"/>
        </w:rPr>
        <w:t xml:space="preserve"> số công tơ điện quy định tại Điều 12, Điều 15 và Điều 17 Nghị định số 137/2013/NĐ-CP hết hiệu lực từ ngày Nghị định này có hiệu lực thi hành.</w:t>
      </w:r>
      <w:bookmarkStart w:id="48" w:name="bookmark47"/>
      <w:bookmarkEnd w:id="48"/>
    </w:p>
    <w:p w:rsidR="007F7247" w:rsidRDefault="00206910" w:rsidP="00E3294A">
      <w:pPr>
        <w:pStyle w:val="Vnbnnidung0"/>
        <w:spacing w:after="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3. </w:t>
      </w:r>
      <w:r w:rsidR="0035508A" w:rsidRPr="006961D9">
        <w:rPr>
          <w:rFonts w:ascii="Arial" w:hAnsi="Arial" w:cs="Arial"/>
          <w:color w:val="000000" w:themeColor="text1"/>
          <w:sz w:val="20"/>
          <w:szCs w:val="20"/>
        </w:rPr>
        <w:t xml:space="preserve">Đối với các hợp </w:t>
      </w:r>
      <w:r>
        <w:rPr>
          <w:rFonts w:ascii="Arial" w:hAnsi="Arial" w:cs="Arial"/>
          <w:color w:val="000000" w:themeColor="text1"/>
          <w:sz w:val="20"/>
          <w:szCs w:val="20"/>
          <w:lang w:val="en-US"/>
        </w:rPr>
        <w:t>đồng</w:t>
      </w:r>
      <w:r w:rsidR="005D5B62">
        <w:rPr>
          <w:rFonts w:ascii="Arial" w:hAnsi="Arial" w:cs="Arial"/>
          <w:color w:val="000000" w:themeColor="text1"/>
          <w:sz w:val="20"/>
          <w:szCs w:val="20"/>
        </w:rPr>
        <w:t xml:space="preserve"> mua bán điện đã được ký k</w:t>
      </w:r>
      <w:r w:rsidR="005D5B62">
        <w:rPr>
          <w:rFonts w:ascii="Arial" w:hAnsi="Arial" w:cs="Arial"/>
          <w:color w:val="000000" w:themeColor="text1"/>
          <w:sz w:val="20"/>
          <w:szCs w:val="20"/>
          <w:lang w:val="en-US"/>
        </w:rPr>
        <w:t>ế</w:t>
      </w:r>
      <w:r w:rsidR="0035508A" w:rsidRPr="006961D9">
        <w:rPr>
          <w:rFonts w:ascii="Arial" w:hAnsi="Arial" w:cs="Arial"/>
          <w:color w:val="000000" w:themeColor="text1"/>
          <w:sz w:val="20"/>
          <w:szCs w:val="20"/>
        </w:rPr>
        <w:t xml:space="preserve">t trước ngày Nghị định này có hiệu lực thi hành thì tiếp tục được thực hiện theo hợp </w:t>
      </w:r>
      <w:r w:rsidR="005D5B62">
        <w:rPr>
          <w:rFonts w:ascii="Arial" w:hAnsi="Arial" w:cs="Arial"/>
          <w:color w:val="000000" w:themeColor="text1"/>
          <w:sz w:val="20"/>
          <w:szCs w:val="20"/>
          <w:lang w:val="en-US"/>
        </w:rPr>
        <w:t>đồng</w:t>
      </w:r>
      <w:r w:rsidR="0035508A" w:rsidRPr="006961D9">
        <w:rPr>
          <w:rFonts w:ascii="Arial" w:hAnsi="Arial" w:cs="Arial"/>
          <w:color w:val="000000" w:themeColor="text1"/>
          <w:sz w:val="20"/>
          <w:szCs w:val="20"/>
        </w:rPr>
        <w:t xml:space="preserve"> đã được ký kết. Đối với những khách hàng đã thực hiện bảo đảm hợp đồng theo quy định tại Nghị định số 137/2013/NĐ-CP thuộc trường hợp quy định tại khoản 4 Điều 3 Nghị định này thì có quyền đề nghị bên bán điện sửa </w:t>
      </w:r>
      <w:r w:rsidR="00237CF7">
        <w:rPr>
          <w:rFonts w:ascii="Arial" w:hAnsi="Arial" w:cs="Arial"/>
          <w:color w:val="000000" w:themeColor="text1"/>
          <w:sz w:val="20"/>
          <w:szCs w:val="20"/>
          <w:lang w:val="en-US"/>
        </w:rPr>
        <w:t>đổi</w:t>
      </w:r>
      <w:r w:rsidR="0035508A" w:rsidRPr="006961D9">
        <w:rPr>
          <w:rFonts w:ascii="Arial" w:hAnsi="Arial" w:cs="Arial"/>
          <w:color w:val="000000" w:themeColor="text1"/>
          <w:sz w:val="20"/>
          <w:szCs w:val="20"/>
        </w:rPr>
        <w:t xml:space="preserve"> hợp đồng mua bán điện theo quy định tại Nghị định này./.</w:t>
      </w:r>
    </w:p>
    <w:p w:rsidR="00E3294A" w:rsidRDefault="00E3294A" w:rsidP="00E3294A">
      <w:pPr>
        <w:pStyle w:val="Vnbnnidung0"/>
        <w:spacing w:after="0" w:line="240" w:lineRule="auto"/>
        <w:ind w:firstLine="720"/>
        <w:jc w:val="both"/>
        <w:rPr>
          <w:rFonts w:ascii="Arial" w:hAnsi="Arial" w:cs="Arial"/>
          <w:color w:val="000000" w:themeColor="text1"/>
          <w:sz w:val="20"/>
          <w:szCs w:val="20"/>
        </w:rPr>
      </w:pPr>
    </w:p>
    <w:tbl>
      <w:tblPr>
        <w:tblW w:w="5000" w:type="pct"/>
        <w:tblLook w:val="04A0" w:firstRow="1" w:lastRow="0" w:firstColumn="1" w:lastColumn="0" w:noHBand="0" w:noVBand="1"/>
      </w:tblPr>
      <w:tblGrid>
        <w:gridCol w:w="4510"/>
        <w:gridCol w:w="4510"/>
      </w:tblGrid>
      <w:tr w:rsidR="00E3294A" w:rsidTr="00E3294A">
        <w:tc>
          <w:tcPr>
            <w:tcW w:w="2500" w:type="pct"/>
          </w:tcPr>
          <w:p w:rsidR="0002704D" w:rsidRPr="00E3294A" w:rsidRDefault="0002704D" w:rsidP="0002704D">
            <w:pPr>
              <w:pStyle w:val="Vnbnnidung0"/>
              <w:tabs>
                <w:tab w:val="left" w:pos="5854"/>
              </w:tabs>
              <w:spacing w:after="0" w:line="240" w:lineRule="auto"/>
              <w:ind w:firstLine="0"/>
              <w:jc w:val="both"/>
              <w:rPr>
                <w:rFonts w:ascii="Arial" w:hAnsi="Arial" w:cs="Arial"/>
                <w:color w:val="000000" w:themeColor="text1"/>
                <w:sz w:val="20"/>
                <w:szCs w:val="20"/>
                <w:lang w:val="en-US"/>
              </w:rPr>
            </w:pPr>
            <w:r>
              <w:rPr>
                <w:rFonts w:ascii="Arial" w:hAnsi="Arial" w:cs="Arial"/>
                <w:b/>
                <w:bCs/>
                <w:i/>
                <w:iCs/>
                <w:color w:val="000000" w:themeColor="text1"/>
                <w:sz w:val="20"/>
                <w:szCs w:val="20"/>
              </w:rPr>
              <w:t>Nơi nhậ</w:t>
            </w:r>
            <w:r>
              <w:rPr>
                <w:rFonts w:ascii="Arial" w:hAnsi="Arial" w:cs="Arial"/>
                <w:b/>
                <w:bCs/>
                <w:i/>
                <w:iCs/>
                <w:color w:val="000000" w:themeColor="text1"/>
                <w:sz w:val="20"/>
                <w:szCs w:val="20"/>
                <w:lang w:val="en-US"/>
              </w:rPr>
              <w:t>n:</w:t>
            </w:r>
          </w:p>
          <w:p w:rsidR="00D6190B" w:rsidRDefault="00D6190B" w:rsidP="0002704D">
            <w:pPr>
              <w:pStyle w:val="Vnbnnidung20"/>
              <w:jc w:val="both"/>
              <w:rPr>
                <w:rFonts w:ascii="Arial" w:hAnsi="Arial" w:cs="Arial"/>
                <w:color w:val="000000" w:themeColor="text1"/>
                <w:lang w:val="en-US"/>
              </w:rPr>
            </w:pPr>
            <w:r>
              <w:rPr>
                <w:rFonts w:ascii="Arial" w:hAnsi="Arial" w:cs="Arial"/>
                <w:color w:val="000000" w:themeColor="text1"/>
                <w:lang w:val="en-US"/>
              </w:rPr>
              <w:lastRenderedPageBreak/>
              <w:t>- Ban Bí thư Trung ương Đảng;</w:t>
            </w:r>
          </w:p>
          <w:p w:rsidR="0002704D" w:rsidRPr="006961D9" w:rsidRDefault="0002704D" w:rsidP="0002704D">
            <w:pPr>
              <w:pStyle w:val="Vnbnnidung20"/>
              <w:jc w:val="both"/>
              <w:rPr>
                <w:rFonts w:ascii="Arial" w:hAnsi="Arial" w:cs="Arial"/>
                <w:color w:val="000000" w:themeColor="text1"/>
              </w:rPr>
            </w:pPr>
            <w:r>
              <w:rPr>
                <w:rFonts w:ascii="Arial" w:hAnsi="Arial" w:cs="Arial"/>
                <w:color w:val="000000" w:themeColor="text1"/>
                <w:lang w:val="en-US"/>
              </w:rPr>
              <w:t>- T</w:t>
            </w:r>
            <w:r w:rsidRPr="006961D9">
              <w:rPr>
                <w:rFonts w:ascii="Arial" w:hAnsi="Arial" w:cs="Arial"/>
                <w:color w:val="000000" w:themeColor="text1"/>
              </w:rPr>
              <w:t>hủ tư</w:t>
            </w:r>
            <w:r>
              <w:rPr>
                <w:rFonts w:ascii="Arial" w:hAnsi="Arial" w:cs="Arial"/>
                <w:color w:val="000000" w:themeColor="text1"/>
              </w:rPr>
              <w:t>ớng, các Phó Thủ tướng Chính ph</w:t>
            </w:r>
            <w:r>
              <w:rPr>
                <w:rFonts w:ascii="Arial" w:hAnsi="Arial" w:cs="Arial"/>
                <w:color w:val="000000" w:themeColor="text1"/>
                <w:lang w:val="en-US"/>
              </w:rPr>
              <w:t>ủ</w:t>
            </w:r>
            <w:r w:rsidRPr="006961D9">
              <w:rPr>
                <w:rFonts w:ascii="Arial" w:hAnsi="Arial" w:cs="Arial"/>
                <w:color w:val="000000" w:themeColor="text1"/>
              </w:rPr>
              <w:t>;</w:t>
            </w:r>
          </w:p>
          <w:p w:rsidR="0002704D" w:rsidRPr="00E3294A" w:rsidRDefault="0002704D" w:rsidP="0002704D">
            <w:pPr>
              <w:pStyle w:val="Vnbnnidung20"/>
              <w:tabs>
                <w:tab w:val="left" w:pos="250"/>
              </w:tabs>
              <w:jc w:val="both"/>
              <w:rPr>
                <w:rFonts w:ascii="Arial" w:hAnsi="Arial" w:cs="Arial"/>
                <w:color w:val="000000" w:themeColor="text1"/>
                <w:lang w:val="en-US"/>
              </w:rPr>
            </w:pPr>
            <w:bookmarkStart w:id="49" w:name="bookmark51"/>
            <w:bookmarkEnd w:id="49"/>
            <w:r>
              <w:rPr>
                <w:rFonts w:ascii="Arial" w:hAnsi="Arial" w:cs="Arial"/>
                <w:color w:val="000000" w:themeColor="text1"/>
                <w:lang w:val="en-US"/>
              </w:rPr>
              <w:t xml:space="preserve">- </w:t>
            </w:r>
            <w:r w:rsidRPr="006961D9">
              <w:rPr>
                <w:rFonts w:ascii="Arial" w:hAnsi="Arial" w:cs="Arial"/>
                <w:color w:val="000000" w:themeColor="text1"/>
              </w:rPr>
              <w:t>Các bộ, cơ quan ngang bộ, cơ quan thuộc Chính phủ</w:t>
            </w:r>
            <w:r>
              <w:rPr>
                <w:rFonts w:ascii="Arial" w:hAnsi="Arial" w:cs="Arial"/>
                <w:color w:val="000000" w:themeColor="text1"/>
                <w:lang w:val="en-US"/>
              </w:rPr>
              <w:t>;</w:t>
            </w:r>
          </w:p>
          <w:p w:rsidR="0002704D" w:rsidRPr="00E3294A" w:rsidRDefault="0002704D" w:rsidP="0002704D">
            <w:pPr>
              <w:pStyle w:val="Vnbnnidung20"/>
              <w:tabs>
                <w:tab w:val="left" w:pos="254"/>
              </w:tabs>
              <w:jc w:val="both"/>
              <w:rPr>
                <w:rFonts w:ascii="Arial" w:hAnsi="Arial" w:cs="Arial"/>
                <w:color w:val="000000" w:themeColor="text1"/>
                <w:lang w:val="en-US"/>
              </w:rPr>
            </w:pPr>
            <w:bookmarkStart w:id="50" w:name="bookmark52"/>
            <w:bookmarkEnd w:id="50"/>
            <w:r>
              <w:rPr>
                <w:rFonts w:ascii="Arial" w:hAnsi="Arial" w:cs="Arial"/>
                <w:color w:val="000000" w:themeColor="text1"/>
                <w:lang w:val="en-US"/>
              </w:rPr>
              <w:t xml:space="preserve">- </w:t>
            </w:r>
            <w:r>
              <w:rPr>
                <w:rFonts w:ascii="Arial" w:hAnsi="Arial" w:cs="Arial"/>
                <w:color w:val="000000" w:themeColor="text1"/>
              </w:rPr>
              <w:t xml:space="preserve">HĐND, </w:t>
            </w:r>
            <w:r>
              <w:rPr>
                <w:rFonts w:ascii="Arial" w:hAnsi="Arial" w:cs="Arial"/>
                <w:color w:val="000000" w:themeColor="text1"/>
                <w:lang w:val="en-US"/>
              </w:rPr>
              <w:t>U</w:t>
            </w:r>
            <w:r>
              <w:rPr>
                <w:rFonts w:ascii="Arial" w:hAnsi="Arial" w:cs="Arial"/>
                <w:color w:val="000000" w:themeColor="text1"/>
              </w:rPr>
              <w:t>BND các t</w:t>
            </w:r>
            <w:r>
              <w:rPr>
                <w:rFonts w:ascii="Arial" w:hAnsi="Arial" w:cs="Arial"/>
                <w:color w:val="000000" w:themeColor="text1"/>
                <w:lang w:val="en-US"/>
              </w:rPr>
              <w:t>ỉ</w:t>
            </w:r>
            <w:r w:rsidRPr="006961D9">
              <w:rPr>
                <w:rFonts w:ascii="Arial" w:hAnsi="Arial" w:cs="Arial"/>
                <w:color w:val="000000" w:themeColor="text1"/>
              </w:rPr>
              <w:t>nh, thành phố trực thuộc trung</w:t>
            </w:r>
            <w:r>
              <w:rPr>
                <w:rFonts w:ascii="Arial" w:hAnsi="Arial" w:cs="Arial"/>
                <w:color w:val="000000" w:themeColor="text1"/>
                <w:lang w:val="en-US"/>
              </w:rPr>
              <w:t xml:space="preserve"> ương;</w:t>
            </w:r>
          </w:p>
          <w:p w:rsidR="0002704D" w:rsidRPr="006961D9" w:rsidRDefault="0002704D" w:rsidP="0002704D">
            <w:pPr>
              <w:pStyle w:val="Vnbnnidung20"/>
              <w:jc w:val="both"/>
              <w:rPr>
                <w:rFonts w:ascii="Arial" w:hAnsi="Arial" w:cs="Arial"/>
                <w:color w:val="000000" w:themeColor="text1"/>
              </w:rPr>
            </w:pPr>
            <w:r>
              <w:rPr>
                <w:rFonts w:ascii="Arial" w:hAnsi="Arial" w:cs="Arial"/>
                <w:color w:val="000000" w:themeColor="text1"/>
                <w:lang w:val="en-US"/>
              </w:rPr>
              <w:t xml:space="preserve">- </w:t>
            </w:r>
            <w:r w:rsidRPr="006961D9">
              <w:rPr>
                <w:rFonts w:ascii="Arial" w:hAnsi="Arial" w:cs="Arial"/>
                <w:color w:val="000000" w:themeColor="text1"/>
              </w:rPr>
              <w:t>Văn phòng Trung ương và các Ban của Đảng;</w:t>
            </w:r>
          </w:p>
          <w:p w:rsidR="0002704D" w:rsidRPr="006961D9" w:rsidRDefault="0002704D" w:rsidP="0002704D">
            <w:pPr>
              <w:pStyle w:val="Vnbnnidung20"/>
              <w:tabs>
                <w:tab w:val="left" w:pos="254"/>
              </w:tabs>
              <w:jc w:val="both"/>
              <w:rPr>
                <w:rFonts w:ascii="Arial" w:hAnsi="Arial" w:cs="Arial"/>
                <w:color w:val="000000" w:themeColor="text1"/>
              </w:rPr>
            </w:pPr>
            <w:bookmarkStart w:id="51" w:name="bookmark53"/>
            <w:bookmarkEnd w:id="51"/>
            <w:r>
              <w:rPr>
                <w:rFonts w:ascii="Arial" w:hAnsi="Arial" w:cs="Arial"/>
                <w:color w:val="000000" w:themeColor="text1"/>
                <w:lang w:val="en-US"/>
              </w:rPr>
              <w:t xml:space="preserve">- </w:t>
            </w:r>
            <w:r w:rsidRPr="006961D9">
              <w:rPr>
                <w:rFonts w:ascii="Arial" w:hAnsi="Arial" w:cs="Arial"/>
                <w:color w:val="000000" w:themeColor="text1"/>
              </w:rPr>
              <w:t>Văn phòng Tổng Bí thư;</w:t>
            </w:r>
          </w:p>
          <w:p w:rsidR="0002704D" w:rsidRPr="006961D9" w:rsidRDefault="0002704D" w:rsidP="0002704D">
            <w:pPr>
              <w:pStyle w:val="Vnbnnidung20"/>
              <w:tabs>
                <w:tab w:val="left" w:pos="254"/>
              </w:tabs>
              <w:jc w:val="both"/>
              <w:rPr>
                <w:rFonts w:ascii="Arial" w:hAnsi="Arial" w:cs="Arial"/>
                <w:color w:val="000000" w:themeColor="text1"/>
              </w:rPr>
            </w:pPr>
            <w:bookmarkStart w:id="52" w:name="bookmark54"/>
            <w:bookmarkEnd w:id="52"/>
            <w:r>
              <w:rPr>
                <w:rFonts w:ascii="Arial" w:hAnsi="Arial" w:cs="Arial"/>
                <w:color w:val="000000" w:themeColor="text1"/>
                <w:lang w:val="en-US"/>
              </w:rPr>
              <w:t xml:space="preserve">- </w:t>
            </w:r>
            <w:r w:rsidRPr="006961D9">
              <w:rPr>
                <w:rFonts w:ascii="Arial" w:hAnsi="Arial" w:cs="Arial"/>
                <w:color w:val="000000" w:themeColor="text1"/>
              </w:rPr>
              <w:t>Văn phòng Chủ tịch nước;</w:t>
            </w:r>
          </w:p>
          <w:p w:rsidR="0002704D" w:rsidRPr="006961D9" w:rsidRDefault="0002704D" w:rsidP="0002704D">
            <w:pPr>
              <w:pStyle w:val="Vnbnnidung20"/>
              <w:tabs>
                <w:tab w:val="left" w:pos="254"/>
              </w:tabs>
              <w:jc w:val="both"/>
              <w:rPr>
                <w:rFonts w:ascii="Arial" w:hAnsi="Arial" w:cs="Arial"/>
                <w:color w:val="000000" w:themeColor="text1"/>
              </w:rPr>
            </w:pPr>
            <w:bookmarkStart w:id="53" w:name="bookmark55"/>
            <w:bookmarkEnd w:id="53"/>
            <w:r>
              <w:rPr>
                <w:rFonts w:ascii="Arial" w:hAnsi="Arial" w:cs="Arial"/>
                <w:color w:val="000000" w:themeColor="text1"/>
                <w:lang w:val="en-US"/>
              </w:rPr>
              <w:t xml:space="preserve">- </w:t>
            </w:r>
            <w:r w:rsidRPr="006961D9">
              <w:rPr>
                <w:rFonts w:ascii="Arial" w:hAnsi="Arial" w:cs="Arial"/>
                <w:color w:val="000000" w:themeColor="text1"/>
              </w:rPr>
              <w:t xml:space="preserve">Hội đồng Dân tộc và các </w:t>
            </w:r>
            <w:r>
              <w:rPr>
                <w:rFonts w:ascii="Arial" w:hAnsi="Arial" w:cs="Arial"/>
                <w:color w:val="000000" w:themeColor="text1"/>
                <w:lang w:val="en-US"/>
              </w:rPr>
              <w:t>Ủy</w:t>
            </w:r>
            <w:r w:rsidRPr="006961D9">
              <w:rPr>
                <w:rFonts w:ascii="Arial" w:hAnsi="Arial" w:cs="Arial"/>
                <w:color w:val="000000" w:themeColor="text1"/>
              </w:rPr>
              <w:t xml:space="preserve"> ban </w:t>
            </w:r>
            <w:r>
              <w:rPr>
                <w:rFonts w:ascii="Arial" w:hAnsi="Arial" w:cs="Arial"/>
                <w:color w:val="000000" w:themeColor="text1"/>
                <w:lang w:val="en-US"/>
              </w:rPr>
              <w:t>của</w:t>
            </w:r>
            <w:r w:rsidRPr="006961D9">
              <w:rPr>
                <w:rFonts w:ascii="Arial" w:hAnsi="Arial" w:cs="Arial"/>
                <w:color w:val="000000" w:themeColor="text1"/>
              </w:rPr>
              <w:t xml:space="preserve"> Quốc hội;</w:t>
            </w:r>
          </w:p>
          <w:p w:rsidR="0002704D" w:rsidRPr="006961D9" w:rsidRDefault="0002704D" w:rsidP="0002704D">
            <w:pPr>
              <w:pStyle w:val="Vnbnnidung20"/>
              <w:tabs>
                <w:tab w:val="left" w:pos="254"/>
              </w:tabs>
              <w:jc w:val="both"/>
              <w:rPr>
                <w:rFonts w:ascii="Arial" w:hAnsi="Arial" w:cs="Arial"/>
                <w:color w:val="000000" w:themeColor="text1"/>
              </w:rPr>
            </w:pPr>
            <w:bookmarkStart w:id="54" w:name="bookmark56"/>
            <w:bookmarkEnd w:id="54"/>
            <w:r>
              <w:rPr>
                <w:rFonts w:ascii="Arial" w:hAnsi="Arial" w:cs="Arial"/>
                <w:color w:val="000000" w:themeColor="text1"/>
                <w:lang w:val="en-US"/>
              </w:rPr>
              <w:t xml:space="preserve">- </w:t>
            </w:r>
            <w:r w:rsidRPr="006961D9">
              <w:rPr>
                <w:rFonts w:ascii="Arial" w:hAnsi="Arial" w:cs="Arial"/>
                <w:color w:val="000000" w:themeColor="text1"/>
              </w:rPr>
              <w:t>Văn phòng Quốc hội;</w:t>
            </w:r>
          </w:p>
          <w:p w:rsidR="0002704D" w:rsidRPr="006961D9" w:rsidRDefault="0002704D" w:rsidP="0002704D">
            <w:pPr>
              <w:pStyle w:val="Vnbnnidung20"/>
              <w:tabs>
                <w:tab w:val="left" w:pos="254"/>
              </w:tabs>
              <w:jc w:val="both"/>
              <w:rPr>
                <w:rFonts w:ascii="Arial" w:hAnsi="Arial" w:cs="Arial"/>
                <w:color w:val="000000" w:themeColor="text1"/>
              </w:rPr>
            </w:pPr>
            <w:bookmarkStart w:id="55" w:name="bookmark57"/>
            <w:bookmarkEnd w:id="55"/>
            <w:r>
              <w:rPr>
                <w:rFonts w:ascii="Arial" w:hAnsi="Arial" w:cs="Arial"/>
                <w:color w:val="000000" w:themeColor="text1"/>
                <w:lang w:val="en-US"/>
              </w:rPr>
              <w:t xml:space="preserve">- </w:t>
            </w:r>
            <w:r w:rsidRPr="006961D9">
              <w:rPr>
                <w:rFonts w:ascii="Arial" w:hAnsi="Arial" w:cs="Arial"/>
                <w:color w:val="000000" w:themeColor="text1"/>
              </w:rPr>
              <w:t>Toà án nhân dân tối cao;</w:t>
            </w:r>
          </w:p>
          <w:p w:rsidR="0002704D" w:rsidRPr="006961D9" w:rsidRDefault="0002704D" w:rsidP="0002704D">
            <w:pPr>
              <w:pStyle w:val="Vnbnnidung20"/>
              <w:tabs>
                <w:tab w:val="left" w:pos="254"/>
              </w:tabs>
              <w:jc w:val="both"/>
              <w:rPr>
                <w:rFonts w:ascii="Arial" w:hAnsi="Arial" w:cs="Arial"/>
                <w:color w:val="000000" w:themeColor="text1"/>
              </w:rPr>
            </w:pPr>
            <w:bookmarkStart w:id="56" w:name="bookmark58"/>
            <w:bookmarkEnd w:id="56"/>
            <w:r>
              <w:rPr>
                <w:rFonts w:ascii="Arial" w:hAnsi="Arial" w:cs="Arial"/>
                <w:color w:val="000000" w:themeColor="text1"/>
                <w:lang w:val="en-US"/>
              </w:rPr>
              <w:t xml:space="preserve">- </w:t>
            </w:r>
            <w:r w:rsidRPr="006961D9">
              <w:rPr>
                <w:rFonts w:ascii="Arial" w:hAnsi="Arial" w:cs="Arial"/>
                <w:color w:val="000000" w:themeColor="text1"/>
              </w:rPr>
              <w:t>Viện kiểm sát nhân dân tối cao;</w:t>
            </w:r>
          </w:p>
          <w:p w:rsidR="0002704D" w:rsidRPr="006961D9" w:rsidRDefault="0002704D" w:rsidP="0002704D">
            <w:pPr>
              <w:pStyle w:val="Vnbnnidung20"/>
              <w:tabs>
                <w:tab w:val="left" w:pos="254"/>
              </w:tabs>
              <w:jc w:val="both"/>
              <w:rPr>
                <w:rFonts w:ascii="Arial" w:hAnsi="Arial" w:cs="Arial"/>
                <w:color w:val="000000" w:themeColor="text1"/>
              </w:rPr>
            </w:pPr>
            <w:bookmarkStart w:id="57" w:name="bookmark59"/>
            <w:bookmarkEnd w:id="57"/>
            <w:r>
              <w:rPr>
                <w:rFonts w:ascii="Arial" w:hAnsi="Arial" w:cs="Arial"/>
                <w:color w:val="000000" w:themeColor="text1"/>
                <w:lang w:val="en-US"/>
              </w:rPr>
              <w:t xml:space="preserve">- </w:t>
            </w:r>
            <w:r w:rsidRPr="006961D9">
              <w:rPr>
                <w:rFonts w:ascii="Arial" w:hAnsi="Arial" w:cs="Arial"/>
                <w:color w:val="000000" w:themeColor="text1"/>
              </w:rPr>
              <w:t>Kiểm toán nhà nước;</w:t>
            </w:r>
          </w:p>
          <w:p w:rsidR="0002704D" w:rsidRPr="006961D9" w:rsidRDefault="0002704D" w:rsidP="0002704D">
            <w:pPr>
              <w:pStyle w:val="Vnbnnidung20"/>
              <w:tabs>
                <w:tab w:val="left" w:pos="254"/>
              </w:tabs>
              <w:jc w:val="both"/>
              <w:rPr>
                <w:rFonts w:ascii="Arial" w:hAnsi="Arial" w:cs="Arial"/>
                <w:color w:val="000000" w:themeColor="text1"/>
              </w:rPr>
            </w:pPr>
            <w:bookmarkStart w:id="58" w:name="bookmark60"/>
            <w:bookmarkEnd w:id="58"/>
            <w:r>
              <w:rPr>
                <w:rFonts w:ascii="Arial" w:hAnsi="Arial" w:cs="Arial"/>
                <w:color w:val="000000" w:themeColor="text1"/>
                <w:lang w:val="en-US"/>
              </w:rPr>
              <w:t xml:space="preserve">- </w:t>
            </w:r>
            <w:r w:rsidRPr="006961D9">
              <w:rPr>
                <w:rFonts w:ascii="Arial" w:hAnsi="Arial" w:cs="Arial"/>
                <w:color w:val="000000" w:themeColor="text1"/>
              </w:rPr>
              <w:t>Ủy ban Giám sát tài chính Quốc gia;</w:t>
            </w:r>
          </w:p>
          <w:p w:rsidR="0002704D" w:rsidRPr="006961D9" w:rsidRDefault="0002704D" w:rsidP="0002704D">
            <w:pPr>
              <w:pStyle w:val="Vnbnnidung20"/>
              <w:tabs>
                <w:tab w:val="left" w:pos="254"/>
              </w:tabs>
              <w:jc w:val="both"/>
              <w:rPr>
                <w:rFonts w:ascii="Arial" w:hAnsi="Arial" w:cs="Arial"/>
                <w:color w:val="000000" w:themeColor="text1"/>
              </w:rPr>
            </w:pPr>
            <w:bookmarkStart w:id="59" w:name="bookmark61"/>
            <w:bookmarkEnd w:id="59"/>
            <w:r>
              <w:rPr>
                <w:rFonts w:ascii="Arial" w:hAnsi="Arial" w:cs="Arial"/>
                <w:color w:val="000000" w:themeColor="text1"/>
                <w:lang w:val="en-US"/>
              </w:rPr>
              <w:t xml:space="preserve">- </w:t>
            </w:r>
            <w:r w:rsidRPr="006961D9">
              <w:rPr>
                <w:rFonts w:ascii="Arial" w:hAnsi="Arial" w:cs="Arial"/>
                <w:color w:val="000000" w:themeColor="text1"/>
              </w:rPr>
              <w:t>Ngân hàng Chính sách xã hội;</w:t>
            </w:r>
          </w:p>
          <w:p w:rsidR="0002704D" w:rsidRPr="006961D9" w:rsidRDefault="0002704D" w:rsidP="0002704D">
            <w:pPr>
              <w:pStyle w:val="Vnbnnidung20"/>
              <w:tabs>
                <w:tab w:val="left" w:pos="254"/>
              </w:tabs>
              <w:jc w:val="both"/>
              <w:rPr>
                <w:rFonts w:ascii="Arial" w:hAnsi="Arial" w:cs="Arial"/>
                <w:color w:val="000000" w:themeColor="text1"/>
              </w:rPr>
            </w:pPr>
            <w:bookmarkStart w:id="60" w:name="bookmark62"/>
            <w:bookmarkEnd w:id="60"/>
            <w:r>
              <w:rPr>
                <w:rFonts w:ascii="Arial" w:hAnsi="Arial" w:cs="Arial"/>
                <w:color w:val="000000" w:themeColor="text1"/>
                <w:lang w:val="en-US"/>
              </w:rPr>
              <w:t xml:space="preserve">- </w:t>
            </w:r>
            <w:r w:rsidRPr="006961D9">
              <w:rPr>
                <w:rFonts w:ascii="Arial" w:hAnsi="Arial" w:cs="Arial"/>
                <w:color w:val="000000" w:themeColor="text1"/>
              </w:rPr>
              <w:t>Ngân hàng Phát triển Việt Nam;</w:t>
            </w:r>
          </w:p>
          <w:p w:rsidR="0002704D" w:rsidRPr="006961D9" w:rsidRDefault="0002704D" w:rsidP="0002704D">
            <w:pPr>
              <w:pStyle w:val="Vnbnnidung20"/>
              <w:tabs>
                <w:tab w:val="left" w:pos="254"/>
              </w:tabs>
              <w:jc w:val="both"/>
              <w:rPr>
                <w:rFonts w:ascii="Arial" w:hAnsi="Arial" w:cs="Arial"/>
                <w:color w:val="000000" w:themeColor="text1"/>
              </w:rPr>
            </w:pPr>
            <w:bookmarkStart w:id="61" w:name="bookmark63"/>
            <w:bookmarkEnd w:id="61"/>
            <w:r>
              <w:rPr>
                <w:rFonts w:ascii="Arial" w:hAnsi="Arial" w:cs="Arial"/>
                <w:color w:val="000000" w:themeColor="text1"/>
                <w:lang w:val="en-US"/>
              </w:rPr>
              <w:t>- Ủy</w:t>
            </w:r>
            <w:r w:rsidRPr="006961D9">
              <w:rPr>
                <w:rFonts w:ascii="Arial" w:hAnsi="Arial" w:cs="Arial"/>
                <w:color w:val="000000" w:themeColor="text1"/>
              </w:rPr>
              <w:t xml:space="preserve"> ban trung ương Mặt trận Tổ quốc Việt Nam;</w:t>
            </w:r>
          </w:p>
          <w:p w:rsidR="0002704D" w:rsidRPr="006961D9" w:rsidRDefault="0002704D" w:rsidP="0002704D">
            <w:pPr>
              <w:pStyle w:val="Vnbnnidung20"/>
              <w:tabs>
                <w:tab w:val="left" w:pos="254"/>
              </w:tabs>
              <w:jc w:val="both"/>
              <w:rPr>
                <w:rFonts w:ascii="Arial" w:hAnsi="Arial" w:cs="Arial"/>
                <w:color w:val="000000" w:themeColor="text1"/>
              </w:rPr>
            </w:pPr>
            <w:bookmarkStart w:id="62" w:name="bookmark64"/>
            <w:bookmarkEnd w:id="62"/>
            <w:r>
              <w:rPr>
                <w:rFonts w:ascii="Arial" w:hAnsi="Arial" w:cs="Arial"/>
                <w:color w:val="000000" w:themeColor="text1"/>
                <w:lang w:val="en-US"/>
              </w:rPr>
              <w:t xml:space="preserve">- </w:t>
            </w:r>
            <w:r w:rsidRPr="006961D9">
              <w:rPr>
                <w:rFonts w:ascii="Arial" w:hAnsi="Arial" w:cs="Arial"/>
                <w:color w:val="000000" w:themeColor="text1"/>
              </w:rPr>
              <w:t>Cơ quan trung ương của các đoàn thể;</w:t>
            </w:r>
          </w:p>
          <w:p w:rsidR="0002704D" w:rsidRPr="006961D9" w:rsidRDefault="0002704D" w:rsidP="0002704D">
            <w:pPr>
              <w:pStyle w:val="Vnbnnidung20"/>
              <w:tabs>
                <w:tab w:val="left" w:pos="267"/>
              </w:tabs>
              <w:jc w:val="both"/>
              <w:rPr>
                <w:rFonts w:ascii="Arial" w:hAnsi="Arial" w:cs="Arial"/>
                <w:color w:val="000000" w:themeColor="text1"/>
              </w:rPr>
            </w:pPr>
            <w:bookmarkStart w:id="63" w:name="bookmark65"/>
            <w:bookmarkEnd w:id="63"/>
            <w:r>
              <w:rPr>
                <w:rFonts w:ascii="Arial" w:hAnsi="Arial" w:cs="Arial"/>
                <w:color w:val="000000" w:themeColor="text1"/>
                <w:lang w:val="en-US"/>
              </w:rPr>
              <w:t xml:space="preserve">- </w:t>
            </w:r>
            <w:r w:rsidRPr="006961D9">
              <w:rPr>
                <w:rFonts w:ascii="Arial" w:hAnsi="Arial" w:cs="Arial"/>
                <w:color w:val="000000" w:themeColor="text1"/>
              </w:rPr>
              <w:t>Tập đoàn Điện lực Việt Nam;</w:t>
            </w:r>
          </w:p>
          <w:p w:rsidR="0002704D" w:rsidRPr="006961D9" w:rsidRDefault="0002704D" w:rsidP="0002704D">
            <w:pPr>
              <w:pStyle w:val="Vnbnnidung20"/>
              <w:tabs>
                <w:tab w:val="left" w:pos="267"/>
              </w:tabs>
              <w:jc w:val="both"/>
              <w:rPr>
                <w:rFonts w:ascii="Arial" w:hAnsi="Arial" w:cs="Arial"/>
                <w:color w:val="000000" w:themeColor="text1"/>
              </w:rPr>
            </w:pPr>
            <w:bookmarkStart w:id="64" w:name="bookmark66"/>
            <w:bookmarkEnd w:id="64"/>
            <w:r>
              <w:rPr>
                <w:rFonts w:ascii="Arial" w:hAnsi="Arial" w:cs="Arial"/>
                <w:color w:val="000000" w:themeColor="text1"/>
                <w:lang w:val="en-US"/>
              </w:rPr>
              <w:t xml:space="preserve">- </w:t>
            </w:r>
            <w:r w:rsidRPr="006961D9">
              <w:rPr>
                <w:rFonts w:ascii="Arial" w:hAnsi="Arial" w:cs="Arial"/>
                <w:color w:val="000000" w:themeColor="text1"/>
              </w:rPr>
              <w:t>VPCP: BTCN, các PCN, Trợ lý TTg, TGĐ Cổng TTĐT,</w:t>
            </w:r>
            <w:r>
              <w:rPr>
                <w:rFonts w:ascii="Arial" w:hAnsi="Arial" w:cs="Arial"/>
                <w:color w:val="000000" w:themeColor="text1"/>
                <w:lang w:val="en-US"/>
              </w:rPr>
              <w:t xml:space="preserve"> </w:t>
            </w:r>
            <w:r w:rsidRPr="006961D9">
              <w:rPr>
                <w:rFonts w:ascii="Arial" w:hAnsi="Arial" w:cs="Arial"/>
                <w:color w:val="000000" w:themeColor="text1"/>
              </w:rPr>
              <w:t>các Vụ, Cục, đơn vị trực thuộc, Công báo;</w:t>
            </w:r>
          </w:p>
          <w:p w:rsidR="00E3294A" w:rsidRPr="0002704D" w:rsidRDefault="0002704D" w:rsidP="0002704D">
            <w:pPr>
              <w:pStyle w:val="Vnbnnidung20"/>
              <w:tabs>
                <w:tab w:val="left" w:pos="267"/>
              </w:tabs>
              <w:jc w:val="both"/>
              <w:rPr>
                <w:rFonts w:ascii="Arial" w:hAnsi="Arial" w:cs="Arial"/>
                <w:color w:val="000000" w:themeColor="text1"/>
                <w:lang w:val="en-US"/>
              </w:rPr>
            </w:pPr>
            <w:bookmarkStart w:id="65" w:name="bookmark67"/>
            <w:bookmarkEnd w:id="65"/>
            <w:r>
              <w:rPr>
                <w:rFonts w:ascii="Arial" w:hAnsi="Arial" w:cs="Arial"/>
                <w:color w:val="000000" w:themeColor="text1"/>
                <w:lang w:val="en-US"/>
              </w:rPr>
              <w:t xml:space="preserve">- </w:t>
            </w:r>
            <w:r>
              <w:rPr>
                <w:rFonts w:ascii="Arial" w:hAnsi="Arial" w:cs="Arial"/>
                <w:color w:val="000000" w:themeColor="text1"/>
              </w:rPr>
              <w:t>Lưu: VT, CN (2b)</w:t>
            </w:r>
            <w:r>
              <w:rPr>
                <w:rFonts w:ascii="Arial" w:hAnsi="Arial" w:cs="Arial"/>
                <w:color w:val="000000" w:themeColor="text1"/>
                <w:lang w:val="en-US"/>
              </w:rPr>
              <w:t>.</w:t>
            </w:r>
          </w:p>
        </w:tc>
        <w:tc>
          <w:tcPr>
            <w:tcW w:w="2500" w:type="pct"/>
          </w:tcPr>
          <w:p w:rsidR="00E3294A" w:rsidRDefault="0002704D" w:rsidP="0002704D">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lastRenderedPageBreak/>
              <w:t>TM. CHÍNH PHỦ</w:t>
            </w:r>
          </w:p>
          <w:p w:rsidR="0002704D" w:rsidRDefault="0002704D" w:rsidP="0002704D">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lastRenderedPageBreak/>
              <w:t>KT. THỦ TƯỚNG</w:t>
            </w:r>
          </w:p>
          <w:p w:rsidR="0002704D" w:rsidRDefault="0002704D" w:rsidP="0002704D">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PHÓ THỦ TƯỚNG</w:t>
            </w:r>
          </w:p>
          <w:p w:rsidR="0002704D" w:rsidRDefault="0002704D" w:rsidP="0002704D">
            <w:pPr>
              <w:pStyle w:val="Vnbnnidung0"/>
              <w:spacing w:after="0" w:line="240" w:lineRule="auto"/>
              <w:ind w:firstLine="0"/>
              <w:jc w:val="center"/>
              <w:rPr>
                <w:rFonts w:ascii="Arial" w:hAnsi="Arial" w:cs="Arial"/>
                <w:b/>
                <w:sz w:val="20"/>
                <w:szCs w:val="20"/>
                <w:lang w:val="en-US"/>
              </w:rPr>
            </w:pPr>
          </w:p>
          <w:p w:rsidR="0002704D" w:rsidRDefault="0002704D" w:rsidP="0002704D">
            <w:pPr>
              <w:pStyle w:val="Vnbnnidung0"/>
              <w:spacing w:after="0" w:line="240" w:lineRule="auto"/>
              <w:ind w:firstLine="0"/>
              <w:jc w:val="center"/>
              <w:rPr>
                <w:rFonts w:ascii="Arial" w:hAnsi="Arial" w:cs="Arial"/>
                <w:b/>
                <w:sz w:val="20"/>
                <w:szCs w:val="20"/>
                <w:lang w:val="en-US"/>
              </w:rPr>
            </w:pPr>
          </w:p>
          <w:p w:rsidR="0002704D" w:rsidRDefault="0002704D" w:rsidP="0002704D">
            <w:pPr>
              <w:pStyle w:val="Vnbnnidung0"/>
              <w:spacing w:after="0" w:line="240" w:lineRule="auto"/>
              <w:ind w:firstLine="0"/>
              <w:jc w:val="center"/>
              <w:rPr>
                <w:rFonts w:ascii="Arial" w:hAnsi="Arial" w:cs="Arial"/>
                <w:b/>
                <w:sz w:val="20"/>
                <w:szCs w:val="20"/>
                <w:lang w:val="en-US"/>
              </w:rPr>
            </w:pPr>
          </w:p>
          <w:p w:rsidR="0002704D" w:rsidRDefault="0002704D" w:rsidP="0002704D">
            <w:pPr>
              <w:pStyle w:val="Vnbnnidung0"/>
              <w:spacing w:after="0" w:line="240" w:lineRule="auto"/>
              <w:ind w:firstLine="0"/>
              <w:jc w:val="center"/>
              <w:rPr>
                <w:rFonts w:ascii="Arial" w:hAnsi="Arial" w:cs="Arial"/>
                <w:b/>
                <w:sz w:val="20"/>
                <w:szCs w:val="20"/>
                <w:lang w:val="en-US"/>
              </w:rPr>
            </w:pPr>
          </w:p>
          <w:p w:rsidR="0002704D" w:rsidRDefault="0002704D" w:rsidP="0002704D">
            <w:pPr>
              <w:pStyle w:val="Vnbnnidung0"/>
              <w:spacing w:after="0" w:line="240" w:lineRule="auto"/>
              <w:ind w:firstLine="0"/>
              <w:jc w:val="center"/>
              <w:rPr>
                <w:rFonts w:ascii="Arial" w:hAnsi="Arial" w:cs="Arial"/>
                <w:b/>
                <w:sz w:val="20"/>
                <w:szCs w:val="20"/>
                <w:lang w:val="en-US"/>
              </w:rPr>
            </w:pPr>
          </w:p>
          <w:p w:rsidR="0002704D" w:rsidRPr="0002704D" w:rsidRDefault="0002704D" w:rsidP="0002704D">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Bùi Thanh Sơn</w:t>
            </w:r>
          </w:p>
        </w:tc>
      </w:tr>
    </w:tbl>
    <w:p w:rsidR="00E3294A" w:rsidRPr="006961D9" w:rsidRDefault="00E3294A" w:rsidP="00206910">
      <w:pPr>
        <w:pStyle w:val="Vnbnnidung0"/>
        <w:spacing w:line="240" w:lineRule="auto"/>
        <w:ind w:firstLine="720"/>
        <w:jc w:val="both"/>
        <w:rPr>
          <w:rFonts w:ascii="Arial" w:hAnsi="Arial" w:cs="Arial"/>
          <w:color w:val="000000" w:themeColor="text1"/>
          <w:sz w:val="20"/>
          <w:szCs w:val="20"/>
        </w:rPr>
      </w:pPr>
    </w:p>
    <w:p w:rsidR="0002704D" w:rsidRDefault="0002704D" w:rsidP="0002704D">
      <w:pPr>
        <w:pStyle w:val="Vnbnnidung20"/>
        <w:tabs>
          <w:tab w:val="left" w:pos="267"/>
        </w:tabs>
        <w:spacing w:after="120"/>
        <w:jc w:val="both"/>
        <w:rPr>
          <w:rFonts w:ascii="Arial" w:hAnsi="Arial" w:cs="Arial"/>
          <w:color w:val="000000" w:themeColor="text1"/>
          <w:lang w:val="en-US"/>
        </w:rPr>
      </w:pPr>
    </w:p>
    <w:p w:rsidR="0002704D" w:rsidRPr="0002704D" w:rsidRDefault="0002704D" w:rsidP="0002704D">
      <w:pPr>
        <w:pStyle w:val="Vnbnnidung20"/>
        <w:tabs>
          <w:tab w:val="left" w:pos="267"/>
        </w:tabs>
        <w:spacing w:after="120"/>
        <w:jc w:val="both"/>
        <w:rPr>
          <w:rFonts w:ascii="Arial" w:hAnsi="Arial" w:cs="Arial"/>
          <w:color w:val="000000" w:themeColor="text1"/>
          <w:lang w:val="en-US"/>
        </w:rPr>
        <w:sectPr w:rsidR="0002704D" w:rsidRPr="0002704D" w:rsidSect="006961D9">
          <w:headerReference w:type="default" r:id="rId7"/>
          <w:headerReference w:type="first" r:id="rId8"/>
          <w:pgSz w:w="11900" w:h="16840" w:code="9"/>
          <w:pgMar w:top="1440" w:right="1440" w:bottom="1440" w:left="1440" w:header="0" w:footer="0" w:gutter="0"/>
          <w:pgNumType w:start="1"/>
          <w:cols w:space="720"/>
          <w:noEndnote/>
          <w:titlePg/>
          <w:docGrid w:linePitch="360"/>
        </w:sectPr>
      </w:pPr>
    </w:p>
    <w:p w:rsidR="007F7247" w:rsidRDefault="0002704D" w:rsidP="00177817">
      <w:pPr>
        <w:pStyle w:val="Vnbnnidung0"/>
        <w:spacing w:after="0" w:line="240" w:lineRule="auto"/>
        <w:ind w:firstLine="0"/>
        <w:jc w:val="center"/>
        <w:rPr>
          <w:rFonts w:ascii="Arial" w:hAnsi="Arial" w:cs="Arial"/>
          <w:b/>
          <w:bCs/>
          <w:color w:val="000000" w:themeColor="text1"/>
          <w:sz w:val="20"/>
          <w:szCs w:val="20"/>
          <w:lang w:val="en-US"/>
        </w:rPr>
      </w:pPr>
      <w:r>
        <w:rPr>
          <w:rFonts w:ascii="Arial" w:hAnsi="Arial" w:cs="Arial"/>
          <w:b/>
          <w:bCs/>
          <w:color w:val="000000" w:themeColor="text1"/>
          <w:sz w:val="20"/>
          <w:szCs w:val="20"/>
          <w:lang w:val="en-US"/>
        </w:rPr>
        <w:lastRenderedPageBreak/>
        <w:t>Phụ lục</w:t>
      </w:r>
    </w:p>
    <w:p w:rsidR="0002704D" w:rsidRDefault="0002704D" w:rsidP="00177817">
      <w:pPr>
        <w:pStyle w:val="Vnbnnidung0"/>
        <w:spacing w:after="0" w:line="240" w:lineRule="auto"/>
        <w:ind w:firstLine="0"/>
        <w:jc w:val="center"/>
        <w:rPr>
          <w:rFonts w:ascii="Arial" w:hAnsi="Arial" w:cs="Arial"/>
          <w:color w:val="000000" w:themeColor="text1"/>
          <w:sz w:val="20"/>
          <w:szCs w:val="20"/>
        </w:rPr>
      </w:pPr>
      <w:r>
        <w:rPr>
          <w:rFonts w:ascii="Arial" w:hAnsi="Arial" w:cs="Arial"/>
          <w:b/>
          <w:bCs/>
          <w:color w:val="000000" w:themeColor="text1"/>
          <w:sz w:val="20"/>
          <w:szCs w:val="20"/>
          <w:lang w:val="en-US"/>
        </w:rPr>
        <w:t>CÔNG THỨC XÁC ĐỊNH HỆ SỐ CÔNG SUẤT COS</w:t>
      </w:r>
      <w:r w:rsidRPr="0002704D">
        <w:rPr>
          <w:rFonts w:ascii="Arial" w:hAnsi="Arial" w:cs="Arial"/>
          <w:b/>
          <w:color w:val="000000" w:themeColor="text1"/>
          <w:sz w:val="20"/>
          <w:szCs w:val="20"/>
        </w:rPr>
        <w:sym w:font="Symbol" w:char="F06A"/>
      </w:r>
    </w:p>
    <w:p w:rsidR="0002704D" w:rsidRDefault="0002704D" w:rsidP="00177817">
      <w:pPr>
        <w:pStyle w:val="Vnbnnidung0"/>
        <w:spacing w:after="0" w:line="240" w:lineRule="auto"/>
        <w:ind w:firstLine="0"/>
        <w:jc w:val="center"/>
        <w:rPr>
          <w:rFonts w:ascii="Arial" w:hAnsi="Arial" w:cs="Arial"/>
          <w:b/>
          <w:color w:val="000000" w:themeColor="text1"/>
          <w:sz w:val="20"/>
          <w:szCs w:val="20"/>
          <w:lang w:val="en-US"/>
        </w:rPr>
      </w:pPr>
      <w:r>
        <w:rPr>
          <w:rFonts w:ascii="Arial" w:hAnsi="Arial" w:cs="Arial"/>
          <w:b/>
          <w:color w:val="000000" w:themeColor="text1"/>
          <w:sz w:val="20"/>
          <w:szCs w:val="20"/>
          <w:lang w:val="en-US"/>
        </w:rPr>
        <w:t>VÀ TIỀN MUA CÔNG SUẤT PHẢN KHÁNG</w:t>
      </w:r>
    </w:p>
    <w:p w:rsidR="0002704D" w:rsidRDefault="0002704D" w:rsidP="00177817">
      <w:pPr>
        <w:pStyle w:val="Vnbnnidung0"/>
        <w:spacing w:after="0" w:line="240" w:lineRule="auto"/>
        <w:ind w:firstLine="0"/>
        <w:jc w:val="center"/>
        <w:rPr>
          <w:rFonts w:ascii="Arial" w:hAnsi="Arial" w:cs="Arial"/>
          <w:i/>
          <w:color w:val="000000" w:themeColor="text1"/>
          <w:sz w:val="20"/>
          <w:szCs w:val="20"/>
          <w:lang w:val="en-US"/>
        </w:rPr>
      </w:pPr>
      <w:r>
        <w:rPr>
          <w:rFonts w:ascii="Arial" w:hAnsi="Arial" w:cs="Arial"/>
          <w:i/>
          <w:color w:val="000000" w:themeColor="text1"/>
          <w:sz w:val="20"/>
          <w:szCs w:val="20"/>
          <w:lang w:val="en-US"/>
        </w:rPr>
        <w:t>(Kèm theo Nghị định số 18/2025/NĐ-CP</w:t>
      </w:r>
    </w:p>
    <w:p w:rsidR="0002704D" w:rsidRDefault="0002704D" w:rsidP="00177817">
      <w:pPr>
        <w:pStyle w:val="Vnbnnidung0"/>
        <w:spacing w:after="0" w:line="240" w:lineRule="auto"/>
        <w:ind w:firstLine="0"/>
        <w:jc w:val="center"/>
        <w:rPr>
          <w:rFonts w:ascii="Arial" w:hAnsi="Arial" w:cs="Arial"/>
          <w:i/>
          <w:color w:val="000000" w:themeColor="text1"/>
          <w:sz w:val="20"/>
          <w:szCs w:val="20"/>
          <w:lang w:val="en-US"/>
        </w:rPr>
      </w:pPr>
      <w:r>
        <w:rPr>
          <w:rFonts w:ascii="Arial" w:hAnsi="Arial" w:cs="Arial"/>
          <w:i/>
          <w:color w:val="000000" w:themeColor="text1"/>
          <w:sz w:val="20"/>
          <w:szCs w:val="20"/>
          <w:lang w:val="en-US"/>
        </w:rPr>
        <w:t>ngày 08 tháng 02 năm 2025 của Chính phủ)</w:t>
      </w:r>
    </w:p>
    <w:p w:rsidR="0002704D" w:rsidRPr="0002704D" w:rsidRDefault="0002704D" w:rsidP="00177817">
      <w:pPr>
        <w:pStyle w:val="Vnbnnidung0"/>
        <w:spacing w:after="0" w:line="240" w:lineRule="auto"/>
        <w:ind w:firstLine="0"/>
        <w:jc w:val="center"/>
        <w:rPr>
          <w:rFonts w:ascii="Arial" w:hAnsi="Arial" w:cs="Arial"/>
          <w:color w:val="000000" w:themeColor="text1"/>
          <w:sz w:val="20"/>
          <w:szCs w:val="20"/>
          <w:vertAlign w:val="superscript"/>
          <w:lang w:val="en-US"/>
        </w:rPr>
      </w:pPr>
      <w:r w:rsidRPr="0002704D">
        <w:rPr>
          <w:rFonts w:ascii="Arial" w:hAnsi="Arial" w:cs="Arial"/>
          <w:color w:val="000000" w:themeColor="text1"/>
          <w:sz w:val="20"/>
          <w:szCs w:val="20"/>
          <w:vertAlign w:val="superscript"/>
          <w:lang w:val="en-US"/>
        </w:rPr>
        <w:t>____________</w:t>
      </w:r>
    </w:p>
    <w:p w:rsidR="0002704D" w:rsidRDefault="0002704D" w:rsidP="00177817">
      <w:pPr>
        <w:pStyle w:val="Vnbnnidung0"/>
        <w:spacing w:after="0" w:line="240" w:lineRule="auto"/>
        <w:ind w:firstLine="0"/>
        <w:jc w:val="center"/>
        <w:rPr>
          <w:rFonts w:ascii="Arial" w:hAnsi="Arial" w:cs="Arial"/>
          <w:color w:val="000000" w:themeColor="text1"/>
          <w:sz w:val="20"/>
          <w:szCs w:val="20"/>
        </w:rPr>
      </w:pPr>
    </w:p>
    <w:p w:rsidR="007F7247" w:rsidRPr="006961D9" w:rsidRDefault="0035508A" w:rsidP="006961D9">
      <w:pPr>
        <w:pStyle w:val="Vnbnnidung0"/>
        <w:spacing w:line="240" w:lineRule="auto"/>
        <w:ind w:firstLine="720"/>
        <w:jc w:val="both"/>
        <w:rPr>
          <w:rFonts w:ascii="Arial" w:hAnsi="Arial" w:cs="Arial"/>
          <w:color w:val="000000" w:themeColor="text1"/>
          <w:sz w:val="20"/>
          <w:szCs w:val="20"/>
        </w:rPr>
      </w:pPr>
      <w:r w:rsidRPr="006961D9">
        <w:rPr>
          <w:rFonts w:ascii="Arial" w:hAnsi="Arial" w:cs="Arial"/>
          <w:color w:val="000000" w:themeColor="text1"/>
          <w:sz w:val="20"/>
          <w:szCs w:val="20"/>
        </w:rPr>
        <w:t>1. Hệ số công suất cos</w:t>
      </w:r>
      <w:r w:rsidR="00177817">
        <w:rPr>
          <w:rFonts w:ascii="Arial" w:hAnsi="Arial" w:cs="Arial"/>
          <w:color w:val="000000" w:themeColor="text1"/>
          <w:sz w:val="20"/>
          <w:szCs w:val="20"/>
        </w:rPr>
        <w:sym w:font="Symbol" w:char="F06A"/>
      </w:r>
      <w:r w:rsidRPr="006961D9">
        <w:rPr>
          <w:rFonts w:ascii="Arial" w:hAnsi="Arial" w:cs="Arial"/>
          <w:color w:val="000000" w:themeColor="text1"/>
          <w:sz w:val="20"/>
          <w:szCs w:val="20"/>
        </w:rPr>
        <w:t xml:space="preserve"> được xác định theo công thức sau:</w:t>
      </w:r>
    </w:p>
    <w:p w:rsidR="00177817" w:rsidRDefault="00177817" w:rsidP="00177817">
      <w:pPr>
        <w:pStyle w:val="Vnbnnidung0"/>
        <w:spacing w:after="0" w:line="240" w:lineRule="auto"/>
        <w:ind w:firstLine="0"/>
        <w:jc w:val="center"/>
        <w:rPr>
          <w:rFonts w:ascii="Arial" w:hAnsi="Arial" w:cs="Arial"/>
          <w:color w:val="000000" w:themeColor="text1"/>
          <w:sz w:val="20"/>
          <w:szCs w:val="20"/>
        </w:rPr>
      </w:pPr>
      <w:r w:rsidRPr="00177817">
        <w:rPr>
          <w:rFonts w:ascii="Arial" w:hAnsi="Arial" w:cs="Arial"/>
          <w:i/>
          <w:iCs/>
          <w:noProof/>
          <w:color w:val="000000" w:themeColor="text1"/>
          <w:sz w:val="20"/>
          <w:szCs w:val="20"/>
          <w:lang w:val="en-US" w:eastAsia="en-US" w:bidi="ar-SA"/>
        </w:rPr>
        <w:drawing>
          <wp:inline distT="0" distB="0" distL="0" distR="0" wp14:anchorId="7A4DF182" wp14:editId="1B36F686">
            <wp:extent cx="1404053" cy="57912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12795" cy="582726"/>
                    </a:xfrm>
                    <a:prstGeom prst="rect">
                      <a:avLst/>
                    </a:prstGeom>
                  </pic:spPr>
                </pic:pic>
              </a:graphicData>
            </a:graphic>
          </wp:inline>
        </w:drawing>
      </w:r>
    </w:p>
    <w:p w:rsidR="007F7247" w:rsidRPr="006961D9" w:rsidRDefault="0035508A" w:rsidP="006961D9">
      <w:pPr>
        <w:pStyle w:val="Vnbnnidung0"/>
        <w:spacing w:line="240" w:lineRule="auto"/>
        <w:ind w:firstLine="720"/>
        <w:jc w:val="both"/>
        <w:rPr>
          <w:rFonts w:ascii="Arial" w:hAnsi="Arial" w:cs="Arial"/>
          <w:color w:val="000000" w:themeColor="text1"/>
          <w:sz w:val="20"/>
          <w:szCs w:val="20"/>
        </w:rPr>
      </w:pPr>
      <w:r w:rsidRPr="006961D9">
        <w:rPr>
          <w:rFonts w:ascii="Arial" w:hAnsi="Arial" w:cs="Arial"/>
          <w:color w:val="000000" w:themeColor="text1"/>
          <w:sz w:val="20"/>
          <w:szCs w:val="20"/>
        </w:rPr>
        <w:t>Trong đó:</w:t>
      </w:r>
    </w:p>
    <w:p w:rsidR="007F7247" w:rsidRPr="006961D9" w:rsidRDefault="0035508A" w:rsidP="006961D9">
      <w:pPr>
        <w:pStyle w:val="Vnbnnidung0"/>
        <w:spacing w:line="240" w:lineRule="auto"/>
        <w:ind w:firstLine="720"/>
        <w:jc w:val="both"/>
        <w:rPr>
          <w:rFonts w:ascii="Arial" w:hAnsi="Arial" w:cs="Arial"/>
          <w:color w:val="000000" w:themeColor="text1"/>
          <w:sz w:val="20"/>
          <w:szCs w:val="20"/>
        </w:rPr>
      </w:pPr>
      <w:r w:rsidRPr="006961D9">
        <w:rPr>
          <w:rFonts w:ascii="Arial" w:hAnsi="Arial" w:cs="Arial"/>
          <w:color w:val="000000" w:themeColor="text1"/>
          <w:sz w:val="20"/>
          <w:szCs w:val="20"/>
        </w:rPr>
        <w:t>A</w:t>
      </w:r>
      <w:r w:rsidRPr="006961D9">
        <w:rPr>
          <w:rFonts w:ascii="Arial" w:hAnsi="Arial" w:cs="Arial"/>
          <w:color w:val="000000" w:themeColor="text1"/>
          <w:sz w:val="20"/>
          <w:szCs w:val="20"/>
          <w:vertAlign w:val="subscript"/>
        </w:rPr>
        <w:t>p</w:t>
      </w:r>
      <w:r w:rsidRPr="006961D9">
        <w:rPr>
          <w:rFonts w:ascii="Arial" w:hAnsi="Arial" w:cs="Arial"/>
          <w:color w:val="000000" w:themeColor="text1"/>
          <w:sz w:val="20"/>
          <w:szCs w:val="20"/>
        </w:rPr>
        <w:t>: Điện năng tác dụng trong chu kỳ ghi chỉ số công tơ (kWh);</w:t>
      </w:r>
    </w:p>
    <w:p w:rsidR="007F7247" w:rsidRPr="00E03D68" w:rsidRDefault="0035508A" w:rsidP="00E03D68">
      <w:pPr>
        <w:pStyle w:val="Vnbnnidung0"/>
        <w:spacing w:line="240" w:lineRule="auto"/>
        <w:ind w:firstLine="720"/>
        <w:jc w:val="both"/>
        <w:rPr>
          <w:rFonts w:ascii="Arial" w:hAnsi="Arial" w:cs="Arial"/>
          <w:color w:val="000000" w:themeColor="text1"/>
          <w:sz w:val="20"/>
          <w:szCs w:val="20"/>
          <w:lang w:val="en-US"/>
        </w:rPr>
      </w:pPr>
      <w:r w:rsidRPr="006961D9">
        <w:rPr>
          <w:rFonts w:ascii="Arial" w:hAnsi="Arial" w:cs="Arial"/>
          <w:color w:val="000000" w:themeColor="text1"/>
          <w:sz w:val="20"/>
          <w:szCs w:val="20"/>
        </w:rPr>
        <w:t>A</w:t>
      </w:r>
      <w:r w:rsidRPr="006961D9">
        <w:rPr>
          <w:rFonts w:ascii="Arial" w:hAnsi="Arial" w:cs="Arial"/>
          <w:color w:val="000000" w:themeColor="text1"/>
          <w:sz w:val="20"/>
          <w:szCs w:val="20"/>
          <w:vertAlign w:val="subscript"/>
        </w:rPr>
        <w:t>q</w:t>
      </w:r>
      <w:r w:rsidRPr="006961D9">
        <w:rPr>
          <w:rFonts w:ascii="Arial" w:hAnsi="Arial" w:cs="Arial"/>
          <w:color w:val="000000" w:themeColor="text1"/>
          <w:sz w:val="20"/>
          <w:szCs w:val="20"/>
        </w:rPr>
        <w:t xml:space="preserve">: Điện năng phản kháng nhận về trong chu kỳ ghi chỉ số công tơ là lượng </w:t>
      </w:r>
      <w:r w:rsidR="00E03D68">
        <w:rPr>
          <w:rFonts w:ascii="Arial" w:hAnsi="Arial" w:cs="Arial"/>
          <w:color w:val="000000" w:themeColor="text1"/>
          <w:sz w:val="20"/>
          <w:szCs w:val="20"/>
          <w:lang w:val="en-US"/>
        </w:rPr>
        <w:t xml:space="preserve">công suất phản kháng tiêu thụ bởi các thiết bị điện trong khoảng thời gian giữa </w:t>
      </w:r>
      <w:r w:rsidRPr="006961D9">
        <w:rPr>
          <w:rFonts w:ascii="Arial" w:hAnsi="Arial" w:cs="Arial"/>
          <w:color w:val="000000" w:themeColor="text1"/>
          <w:sz w:val="20"/>
          <w:szCs w:val="20"/>
        </w:rPr>
        <w:t>hai lần ghi chỉ số công tơ (kVArh).</w:t>
      </w:r>
    </w:p>
    <w:p w:rsidR="007F7247" w:rsidRPr="006961D9" w:rsidRDefault="0035508A" w:rsidP="006961D9">
      <w:pPr>
        <w:pStyle w:val="Vnbnnidung0"/>
        <w:spacing w:line="240" w:lineRule="auto"/>
        <w:ind w:firstLine="720"/>
        <w:jc w:val="both"/>
        <w:rPr>
          <w:rFonts w:ascii="Arial" w:hAnsi="Arial" w:cs="Arial"/>
          <w:color w:val="000000" w:themeColor="text1"/>
          <w:sz w:val="20"/>
          <w:szCs w:val="20"/>
        </w:rPr>
      </w:pPr>
      <w:r w:rsidRPr="006961D9">
        <w:rPr>
          <w:rFonts w:ascii="Arial" w:hAnsi="Arial" w:cs="Arial"/>
          <w:color w:val="000000" w:themeColor="text1"/>
          <w:sz w:val="20"/>
          <w:szCs w:val="20"/>
        </w:rPr>
        <w:t>2. Tiền mua công suất phản kháng được tính theo công thức sau:</w:t>
      </w:r>
    </w:p>
    <w:p w:rsidR="007F7247" w:rsidRPr="006961D9" w:rsidRDefault="0035508A" w:rsidP="006961D9">
      <w:pPr>
        <w:pStyle w:val="Vnbnnidung0"/>
        <w:spacing w:line="240" w:lineRule="auto"/>
        <w:ind w:firstLine="720"/>
        <w:jc w:val="both"/>
        <w:rPr>
          <w:rFonts w:ascii="Arial" w:hAnsi="Arial" w:cs="Arial"/>
          <w:color w:val="000000" w:themeColor="text1"/>
          <w:sz w:val="20"/>
          <w:szCs w:val="20"/>
        </w:rPr>
      </w:pPr>
      <w:r w:rsidRPr="006961D9">
        <w:rPr>
          <w:rFonts w:ascii="Arial" w:hAnsi="Arial" w:cs="Arial"/>
          <w:color w:val="000000" w:themeColor="text1"/>
          <w:sz w:val="20"/>
          <w:szCs w:val="20"/>
        </w:rPr>
        <w:t>Trong đó:</w:t>
      </w:r>
    </w:p>
    <w:p w:rsidR="007F7247" w:rsidRPr="006961D9" w:rsidRDefault="0035508A" w:rsidP="00684698">
      <w:pPr>
        <w:pStyle w:val="Vnbnnidung20"/>
        <w:spacing w:after="120"/>
        <w:jc w:val="center"/>
        <w:rPr>
          <w:rFonts w:ascii="Arial" w:hAnsi="Arial" w:cs="Arial"/>
          <w:color w:val="000000" w:themeColor="text1"/>
        </w:rPr>
      </w:pPr>
      <w:r w:rsidRPr="006961D9">
        <w:rPr>
          <w:rFonts w:ascii="Arial" w:hAnsi="Arial" w:cs="Arial"/>
          <w:i/>
          <w:iCs/>
          <w:color w:val="000000" w:themeColor="text1"/>
        </w:rPr>
        <w:t>T</w:t>
      </w:r>
      <w:r w:rsidR="00684698">
        <w:rPr>
          <w:rFonts w:ascii="Arial" w:hAnsi="Arial" w:cs="Arial"/>
          <w:i/>
          <w:iCs/>
          <w:color w:val="000000" w:themeColor="text1"/>
          <w:vertAlign w:val="subscript"/>
          <w:lang w:val="en-US"/>
        </w:rPr>
        <w:t>q</w:t>
      </w:r>
      <w:r w:rsidRPr="006961D9">
        <w:rPr>
          <w:rFonts w:ascii="Arial" w:hAnsi="Arial" w:cs="Arial"/>
          <w:i/>
          <w:iCs/>
          <w:color w:val="000000" w:themeColor="text1"/>
        </w:rPr>
        <w:t xml:space="preserve"> = T</w:t>
      </w:r>
      <w:r w:rsidR="00684698">
        <w:rPr>
          <w:rFonts w:ascii="Arial" w:hAnsi="Arial" w:cs="Arial"/>
          <w:i/>
          <w:iCs/>
          <w:color w:val="000000" w:themeColor="text1"/>
          <w:vertAlign w:val="subscript"/>
          <w:lang w:val="en-US"/>
        </w:rPr>
        <w:t>p</w:t>
      </w:r>
      <w:r w:rsidRPr="006961D9">
        <w:rPr>
          <w:rFonts w:ascii="Arial" w:hAnsi="Arial" w:cs="Arial"/>
          <w:color w:val="000000" w:themeColor="text1"/>
        </w:rPr>
        <w:t xml:space="preserve"> </w:t>
      </w:r>
      <w:r w:rsidR="00684698">
        <w:rPr>
          <w:rFonts w:ascii="Arial" w:hAnsi="Arial" w:cs="Arial"/>
          <w:color w:val="000000" w:themeColor="text1"/>
          <w:lang w:val="en-US"/>
        </w:rPr>
        <w:t>x</w:t>
      </w:r>
      <w:r w:rsidRPr="006961D9">
        <w:rPr>
          <w:rFonts w:ascii="Arial" w:hAnsi="Arial" w:cs="Arial"/>
          <w:color w:val="000000" w:themeColor="text1"/>
        </w:rPr>
        <w:t xml:space="preserve"> </w:t>
      </w:r>
      <w:r w:rsidRPr="006961D9">
        <w:rPr>
          <w:rFonts w:ascii="Arial" w:hAnsi="Arial" w:cs="Arial"/>
          <w:i/>
          <w:iCs/>
          <w:color w:val="000000" w:themeColor="text1"/>
        </w:rPr>
        <w:t>k%</w:t>
      </w:r>
    </w:p>
    <w:p w:rsidR="007F7247" w:rsidRPr="006961D9" w:rsidRDefault="0035508A" w:rsidP="006961D9">
      <w:pPr>
        <w:pStyle w:val="Vnbnnidung0"/>
        <w:spacing w:line="240" w:lineRule="auto"/>
        <w:ind w:firstLine="720"/>
        <w:jc w:val="both"/>
        <w:rPr>
          <w:rFonts w:ascii="Arial" w:hAnsi="Arial" w:cs="Arial"/>
          <w:color w:val="000000" w:themeColor="text1"/>
          <w:sz w:val="20"/>
          <w:szCs w:val="20"/>
        </w:rPr>
      </w:pPr>
      <w:r w:rsidRPr="006961D9">
        <w:rPr>
          <w:rFonts w:ascii="Arial" w:hAnsi="Arial" w:cs="Arial"/>
          <w:color w:val="000000" w:themeColor="text1"/>
          <w:sz w:val="20"/>
          <w:szCs w:val="20"/>
        </w:rPr>
        <w:t>T</w:t>
      </w:r>
      <w:r w:rsidRPr="006961D9">
        <w:rPr>
          <w:rFonts w:ascii="Arial" w:hAnsi="Arial" w:cs="Arial"/>
          <w:color w:val="000000" w:themeColor="text1"/>
          <w:sz w:val="20"/>
          <w:szCs w:val="20"/>
          <w:vertAlign w:val="subscript"/>
        </w:rPr>
        <w:t>q</w:t>
      </w:r>
      <w:r w:rsidRPr="006961D9">
        <w:rPr>
          <w:rFonts w:ascii="Arial" w:hAnsi="Arial" w:cs="Arial"/>
          <w:color w:val="000000" w:themeColor="text1"/>
          <w:sz w:val="20"/>
          <w:szCs w:val="20"/>
        </w:rPr>
        <w:t>: Tiền mua công suất phản kháng (chưa có thuế giá trị gia tăng);</w:t>
      </w:r>
    </w:p>
    <w:p w:rsidR="007F7247" w:rsidRPr="006961D9" w:rsidRDefault="0035508A" w:rsidP="006961D9">
      <w:pPr>
        <w:pStyle w:val="Vnbnnidung0"/>
        <w:spacing w:line="240" w:lineRule="auto"/>
        <w:ind w:firstLine="720"/>
        <w:jc w:val="both"/>
        <w:rPr>
          <w:rFonts w:ascii="Arial" w:hAnsi="Arial" w:cs="Arial"/>
          <w:color w:val="000000" w:themeColor="text1"/>
          <w:sz w:val="20"/>
          <w:szCs w:val="20"/>
        </w:rPr>
      </w:pPr>
      <w:r w:rsidRPr="006961D9">
        <w:rPr>
          <w:rFonts w:ascii="Arial" w:hAnsi="Arial" w:cs="Arial"/>
          <w:color w:val="000000" w:themeColor="text1"/>
          <w:sz w:val="20"/>
          <w:szCs w:val="20"/>
        </w:rPr>
        <w:t>T</w:t>
      </w:r>
      <w:r w:rsidRPr="006961D9">
        <w:rPr>
          <w:rFonts w:ascii="Arial" w:hAnsi="Arial" w:cs="Arial"/>
          <w:color w:val="000000" w:themeColor="text1"/>
          <w:sz w:val="20"/>
          <w:szCs w:val="20"/>
          <w:vertAlign w:val="subscript"/>
        </w:rPr>
        <w:t>p</w:t>
      </w:r>
      <w:r w:rsidRPr="006961D9">
        <w:rPr>
          <w:rFonts w:ascii="Arial" w:hAnsi="Arial" w:cs="Arial"/>
          <w:color w:val="000000" w:themeColor="text1"/>
          <w:sz w:val="20"/>
          <w:szCs w:val="20"/>
        </w:rPr>
        <w:t>: Tiền mua điện năng tác dụng (chưa có thuế giá trị gia tăng);</w:t>
      </w:r>
    </w:p>
    <w:p w:rsidR="007F7247" w:rsidRPr="00C379D2" w:rsidRDefault="0035508A" w:rsidP="006961D9">
      <w:pPr>
        <w:pStyle w:val="Vnbnnidung0"/>
        <w:spacing w:line="240" w:lineRule="auto"/>
        <w:ind w:firstLine="720"/>
        <w:jc w:val="both"/>
        <w:rPr>
          <w:rFonts w:ascii="Arial" w:hAnsi="Arial" w:cs="Arial"/>
          <w:color w:val="000000" w:themeColor="text1"/>
          <w:sz w:val="20"/>
          <w:szCs w:val="20"/>
          <w:lang w:val="en-US"/>
        </w:rPr>
        <w:sectPr w:rsidR="007F7247" w:rsidRPr="00C379D2" w:rsidSect="006961D9">
          <w:headerReference w:type="default" r:id="rId10"/>
          <w:pgSz w:w="11900" w:h="16840" w:code="9"/>
          <w:pgMar w:top="1440" w:right="1440" w:bottom="1440" w:left="1440" w:header="0" w:footer="0" w:gutter="0"/>
          <w:cols w:space="720"/>
          <w:noEndnote/>
          <w:docGrid w:linePitch="360"/>
        </w:sectPr>
      </w:pPr>
      <w:r w:rsidRPr="006961D9">
        <w:rPr>
          <w:rFonts w:ascii="Arial" w:hAnsi="Arial" w:cs="Arial"/>
          <w:color w:val="000000" w:themeColor="text1"/>
          <w:sz w:val="20"/>
          <w:szCs w:val="20"/>
        </w:rPr>
        <w:t>k: Hệ số bù đắp chi phí do bên mua điện sử dụng quá lượng công suất phản kháng quy định (</w:t>
      </w:r>
      <w:r w:rsidR="00FA04FE">
        <w:rPr>
          <w:rFonts w:ascii="Arial" w:hAnsi="Arial" w:cs="Arial"/>
          <w:color w:val="000000" w:themeColor="text1"/>
          <w:sz w:val="20"/>
          <w:szCs w:val="20"/>
        </w:rPr>
        <w:t>%), được xác định theo b</w:t>
      </w:r>
      <w:r w:rsidR="00FA04FE">
        <w:rPr>
          <w:rFonts w:ascii="Arial" w:hAnsi="Arial" w:cs="Arial"/>
          <w:color w:val="000000" w:themeColor="text1"/>
          <w:sz w:val="20"/>
          <w:szCs w:val="20"/>
          <w:lang w:val="en-US"/>
        </w:rPr>
        <w:t>ả</w:t>
      </w:r>
      <w:r w:rsidR="006961D9">
        <w:rPr>
          <w:rFonts w:ascii="Arial" w:hAnsi="Arial" w:cs="Arial"/>
          <w:color w:val="000000" w:themeColor="text1"/>
          <w:sz w:val="20"/>
          <w:szCs w:val="20"/>
        </w:rPr>
        <w:t>ng sau</w:t>
      </w:r>
      <w:r w:rsidR="00C379D2">
        <w:rPr>
          <w:rFonts w:ascii="Arial" w:hAnsi="Arial" w:cs="Arial"/>
          <w:color w:val="000000" w:themeColor="text1"/>
          <w:sz w:val="20"/>
          <w:szCs w:val="20"/>
          <w:lang w:val="en-US"/>
        </w:rPr>
        <w:t>:</w:t>
      </w:r>
    </w:p>
    <w:tbl>
      <w:tblPr>
        <w:tblStyle w:val="TableGrid"/>
        <w:tblW w:w="5000" w:type="pct"/>
        <w:tblLook w:val="04A0" w:firstRow="1" w:lastRow="0" w:firstColumn="1" w:lastColumn="0" w:noHBand="0" w:noVBand="1"/>
      </w:tblPr>
      <w:tblGrid>
        <w:gridCol w:w="2252"/>
        <w:gridCol w:w="2252"/>
        <w:gridCol w:w="2253"/>
        <w:gridCol w:w="2253"/>
      </w:tblGrid>
      <w:tr w:rsidR="007178C2" w:rsidTr="007178C2">
        <w:tc>
          <w:tcPr>
            <w:tcW w:w="1250" w:type="pct"/>
            <w:vAlign w:val="center"/>
          </w:tcPr>
          <w:p w:rsidR="007178C2" w:rsidRPr="007178C2" w:rsidRDefault="007178C2"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lastRenderedPageBreak/>
              <w:t>Hệ số công suất Cos</w:t>
            </w:r>
            <w:r>
              <w:rPr>
                <w:rFonts w:ascii="Arial" w:hAnsi="Arial" w:cs="Arial"/>
                <w:color w:val="000000" w:themeColor="text1"/>
                <w:sz w:val="20"/>
                <w:szCs w:val="20"/>
              </w:rPr>
              <w:sym w:font="Symbol" w:char="F06A"/>
            </w:r>
          </w:p>
        </w:tc>
        <w:tc>
          <w:tcPr>
            <w:tcW w:w="1250" w:type="pct"/>
            <w:vAlign w:val="center"/>
          </w:tcPr>
          <w:p w:rsidR="007178C2" w:rsidRPr="007178C2" w:rsidRDefault="007178C2"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k (%)</w:t>
            </w:r>
          </w:p>
        </w:tc>
        <w:tc>
          <w:tcPr>
            <w:tcW w:w="1250" w:type="pct"/>
            <w:vAlign w:val="center"/>
          </w:tcPr>
          <w:p w:rsidR="007178C2" w:rsidRPr="007178C2" w:rsidRDefault="007178C2"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Hệ số công suất Cos</w:t>
            </w:r>
            <w:r>
              <w:rPr>
                <w:rFonts w:ascii="Arial" w:hAnsi="Arial" w:cs="Arial"/>
                <w:color w:val="000000" w:themeColor="text1"/>
                <w:sz w:val="20"/>
                <w:szCs w:val="20"/>
              </w:rPr>
              <w:sym w:font="Symbol" w:char="F06A"/>
            </w:r>
          </w:p>
        </w:tc>
        <w:tc>
          <w:tcPr>
            <w:tcW w:w="1250" w:type="pct"/>
            <w:vAlign w:val="center"/>
          </w:tcPr>
          <w:p w:rsidR="007178C2" w:rsidRDefault="007178C2" w:rsidP="007178C2">
            <w:pPr>
              <w:jc w:val="center"/>
              <w:rPr>
                <w:rFonts w:ascii="Arial" w:hAnsi="Arial" w:cs="Arial"/>
                <w:color w:val="000000" w:themeColor="text1"/>
                <w:sz w:val="20"/>
                <w:szCs w:val="20"/>
              </w:rPr>
            </w:pPr>
            <w:r>
              <w:rPr>
                <w:rFonts w:ascii="Arial" w:hAnsi="Arial" w:cs="Arial"/>
                <w:color w:val="000000" w:themeColor="text1"/>
                <w:sz w:val="20"/>
                <w:szCs w:val="20"/>
                <w:lang w:val="en-US"/>
              </w:rPr>
              <w:t>k (%)</w:t>
            </w:r>
          </w:p>
        </w:tc>
      </w:tr>
      <w:tr w:rsidR="007178C2" w:rsidTr="007178C2">
        <w:tc>
          <w:tcPr>
            <w:tcW w:w="1250" w:type="pct"/>
            <w:vAlign w:val="center"/>
          </w:tcPr>
          <w:p w:rsidR="007178C2" w:rsidRPr="007178C2" w:rsidRDefault="007178C2"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Từ 0,9 trở lên</w:t>
            </w:r>
          </w:p>
        </w:tc>
        <w:tc>
          <w:tcPr>
            <w:tcW w:w="1250" w:type="pct"/>
            <w:vAlign w:val="center"/>
          </w:tcPr>
          <w:p w:rsidR="007178C2" w:rsidRPr="007178C2" w:rsidRDefault="007178C2"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0</w:t>
            </w:r>
          </w:p>
        </w:tc>
        <w:tc>
          <w:tcPr>
            <w:tcW w:w="1250" w:type="pct"/>
            <w:vAlign w:val="center"/>
          </w:tcPr>
          <w:p w:rsidR="007178C2" w:rsidRPr="007178C2" w:rsidRDefault="007178C2"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0,74</w:t>
            </w:r>
          </w:p>
        </w:tc>
        <w:tc>
          <w:tcPr>
            <w:tcW w:w="1250" w:type="pct"/>
            <w:vAlign w:val="center"/>
          </w:tcPr>
          <w:p w:rsidR="007178C2" w:rsidRPr="007178C2" w:rsidRDefault="007178C2"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21,62</w:t>
            </w:r>
          </w:p>
        </w:tc>
      </w:tr>
      <w:tr w:rsidR="007178C2" w:rsidTr="007178C2">
        <w:tc>
          <w:tcPr>
            <w:tcW w:w="1250" w:type="pct"/>
            <w:vAlign w:val="center"/>
          </w:tcPr>
          <w:p w:rsidR="007178C2" w:rsidRPr="007178C2" w:rsidRDefault="007178C2"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0,89</w:t>
            </w:r>
          </w:p>
        </w:tc>
        <w:tc>
          <w:tcPr>
            <w:tcW w:w="1250" w:type="pct"/>
            <w:vAlign w:val="center"/>
          </w:tcPr>
          <w:p w:rsidR="007178C2" w:rsidRPr="007178C2" w:rsidRDefault="007178C2"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1,12</w:t>
            </w:r>
          </w:p>
        </w:tc>
        <w:tc>
          <w:tcPr>
            <w:tcW w:w="1250" w:type="pct"/>
            <w:vAlign w:val="center"/>
          </w:tcPr>
          <w:p w:rsidR="007178C2" w:rsidRPr="007178C2" w:rsidRDefault="007178C2"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0,73</w:t>
            </w:r>
          </w:p>
        </w:tc>
        <w:tc>
          <w:tcPr>
            <w:tcW w:w="1250" w:type="pct"/>
            <w:vAlign w:val="center"/>
          </w:tcPr>
          <w:p w:rsidR="007178C2" w:rsidRPr="007178C2" w:rsidRDefault="007178C2"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23,29</w:t>
            </w:r>
          </w:p>
        </w:tc>
      </w:tr>
      <w:tr w:rsidR="007178C2" w:rsidTr="007178C2">
        <w:tc>
          <w:tcPr>
            <w:tcW w:w="1250" w:type="pct"/>
            <w:vAlign w:val="center"/>
          </w:tcPr>
          <w:p w:rsidR="007178C2" w:rsidRPr="007178C2" w:rsidRDefault="007178C2"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0,88</w:t>
            </w:r>
          </w:p>
        </w:tc>
        <w:tc>
          <w:tcPr>
            <w:tcW w:w="1250" w:type="pct"/>
            <w:vAlign w:val="center"/>
          </w:tcPr>
          <w:p w:rsidR="007178C2" w:rsidRPr="007178C2" w:rsidRDefault="007178C2"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2,27</w:t>
            </w:r>
          </w:p>
        </w:tc>
        <w:tc>
          <w:tcPr>
            <w:tcW w:w="1250" w:type="pct"/>
            <w:vAlign w:val="center"/>
          </w:tcPr>
          <w:p w:rsidR="007178C2" w:rsidRPr="007178C2" w:rsidRDefault="007178C2"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0,72</w:t>
            </w:r>
          </w:p>
        </w:tc>
        <w:tc>
          <w:tcPr>
            <w:tcW w:w="1250" w:type="pct"/>
            <w:vAlign w:val="center"/>
          </w:tcPr>
          <w:p w:rsidR="007178C2" w:rsidRPr="007178C2" w:rsidRDefault="007178C2"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25</w:t>
            </w:r>
          </w:p>
        </w:tc>
      </w:tr>
      <w:tr w:rsidR="007178C2" w:rsidTr="007178C2">
        <w:tc>
          <w:tcPr>
            <w:tcW w:w="1250" w:type="pct"/>
            <w:vAlign w:val="center"/>
          </w:tcPr>
          <w:p w:rsidR="007178C2" w:rsidRPr="007178C2" w:rsidRDefault="007178C2"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0,87</w:t>
            </w:r>
          </w:p>
        </w:tc>
        <w:tc>
          <w:tcPr>
            <w:tcW w:w="1250" w:type="pct"/>
            <w:vAlign w:val="center"/>
          </w:tcPr>
          <w:p w:rsidR="007178C2" w:rsidRPr="007178C2" w:rsidRDefault="007178C2"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3,45</w:t>
            </w:r>
          </w:p>
        </w:tc>
        <w:tc>
          <w:tcPr>
            <w:tcW w:w="1250" w:type="pct"/>
            <w:vAlign w:val="center"/>
          </w:tcPr>
          <w:p w:rsidR="007178C2" w:rsidRPr="007178C2" w:rsidRDefault="007178C2"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0,71</w:t>
            </w:r>
          </w:p>
        </w:tc>
        <w:tc>
          <w:tcPr>
            <w:tcW w:w="1250" w:type="pct"/>
            <w:vAlign w:val="center"/>
          </w:tcPr>
          <w:p w:rsidR="007178C2" w:rsidRPr="007178C2" w:rsidRDefault="007178C2"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26,76</w:t>
            </w:r>
          </w:p>
        </w:tc>
      </w:tr>
      <w:tr w:rsidR="007178C2" w:rsidTr="007178C2">
        <w:tc>
          <w:tcPr>
            <w:tcW w:w="1250" w:type="pct"/>
            <w:vAlign w:val="center"/>
          </w:tcPr>
          <w:p w:rsidR="007178C2" w:rsidRPr="007178C2" w:rsidRDefault="007178C2"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0,86</w:t>
            </w:r>
          </w:p>
        </w:tc>
        <w:tc>
          <w:tcPr>
            <w:tcW w:w="1250" w:type="pct"/>
            <w:vAlign w:val="center"/>
          </w:tcPr>
          <w:p w:rsidR="007178C2" w:rsidRPr="007178C2" w:rsidRDefault="007178C2"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4,65</w:t>
            </w:r>
          </w:p>
        </w:tc>
        <w:tc>
          <w:tcPr>
            <w:tcW w:w="1250" w:type="pct"/>
            <w:vAlign w:val="center"/>
          </w:tcPr>
          <w:p w:rsidR="007178C2" w:rsidRPr="007178C2" w:rsidRDefault="007178C2"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0,7</w:t>
            </w:r>
          </w:p>
        </w:tc>
        <w:tc>
          <w:tcPr>
            <w:tcW w:w="1250" w:type="pct"/>
            <w:vAlign w:val="center"/>
          </w:tcPr>
          <w:p w:rsidR="007178C2" w:rsidRPr="007178C2" w:rsidRDefault="007178C2"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28,57</w:t>
            </w:r>
          </w:p>
        </w:tc>
      </w:tr>
      <w:tr w:rsidR="007178C2" w:rsidTr="007178C2">
        <w:tc>
          <w:tcPr>
            <w:tcW w:w="1250" w:type="pct"/>
            <w:vAlign w:val="center"/>
          </w:tcPr>
          <w:p w:rsidR="007178C2" w:rsidRDefault="007178C2"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0,85</w:t>
            </w:r>
          </w:p>
        </w:tc>
        <w:tc>
          <w:tcPr>
            <w:tcW w:w="1250" w:type="pct"/>
            <w:vAlign w:val="center"/>
          </w:tcPr>
          <w:p w:rsidR="007178C2" w:rsidRDefault="007178C2"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5,88</w:t>
            </w:r>
          </w:p>
        </w:tc>
        <w:tc>
          <w:tcPr>
            <w:tcW w:w="1250" w:type="pct"/>
            <w:vAlign w:val="center"/>
          </w:tcPr>
          <w:p w:rsidR="007178C2" w:rsidRDefault="007178C2"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0,69</w:t>
            </w:r>
          </w:p>
        </w:tc>
        <w:tc>
          <w:tcPr>
            <w:tcW w:w="1250" w:type="pct"/>
            <w:vAlign w:val="center"/>
          </w:tcPr>
          <w:p w:rsidR="007178C2" w:rsidRDefault="007178C2"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30,43</w:t>
            </w:r>
          </w:p>
        </w:tc>
      </w:tr>
      <w:tr w:rsidR="007178C2" w:rsidTr="007178C2">
        <w:tc>
          <w:tcPr>
            <w:tcW w:w="1250" w:type="pct"/>
            <w:vAlign w:val="center"/>
          </w:tcPr>
          <w:p w:rsidR="007178C2" w:rsidRDefault="007178C2"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0,84</w:t>
            </w:r>
          </w:p>
        </w:tc>
        <w:tc>
          <w:tcPr>
            <w:tcW w:w="1250" w:type="pct"/>
            <w:vAlign w:val="center"/>
          </w:tcPr>
          <w:p w:rsidR="007178C2" w:rsidRDefault="007178C2"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7,14</w:t>
            </w:r>
          </w:p>
        </w:tc>
        <w:tc>
          <w:tcPr>
            <w:tcW w:w="1250" w:type="pct"/>
            <w:vAlign w:val="center"/>
          </w:tcPr>
          <w:p w:rsidR="007178C2" w:rsidRDefault="007178C2"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0,68</w:t>
            </w:r>
          </w:p>
        </w:tc>
        <w:tc>
          <w:tcPr>
            <w:tcW w:w="1250" w:type="pct"/>
            <w:vAlign w:val="center"/>
          </w:tcPr>
          <w:p w:rsidR="007178C2" w:rsidRDefault="007178C2"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32,35</w:t>
            </w:r>
          </w:p>
        </w:tc>
      </w:tr>
      <w:tr w:rsidR="007178C2" w:rsidTr="007178C2">
        <w:tc>
          <w:tcPr>
            <w:tcW w:w="1250" w:type="pct"/>
            <w:vAlign w:val="center"/>
          </w:tcPr>
          <w:p w:rsidR="007178C2" w:rsidRDefault="007178C2"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0,83</w:t>
            </w:r>
          </w:p>
        </w:tc>
        <w:tc>
          <w:tcPr>
            <w:tcW w:w="1250" w:type="pct"/>
            <w:vAlign w:val="center"/>
          </w:tcPr>
          <w:p w:rsidR="007178C2" w:rsidRDefault="007178C2"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8,43</w:t>
            </w:r>
          </w:p>
        </w:tc>
        <w:tc>
          <w:tcPr>
            <w:tcW w:w="1250" w:type="pct"/>
            <w:vAlign w:val="center"/>
          </w:tcPr>
          <w:p w:rsidR="007178C2" w:rsidRDefault="007178C2"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0,67</w:t>
            </w:r>
          </w:p>
        </w:tc>
        <w:tc>
          <w:tcPr>
            <w:tcW w:w="1250" w:type="pct"/>
            <w:vAlign w:val="center"/>
          </w:tcPr>
          <w:p w:rsidR="007178C2" w:rsidRDefault="007178C2"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34,33</w:t>
            </w:r>
          </w:p>
        </w:tc>
      </w:tr>
      <w:tr w:rsidR="007178C2" w:rsidTr="007178C2">
        <w:tc>
          <w:tcPr>
            <w:tcW w:w="1250" w:type="pct"/>
            <w:vAlign w:val="center"/>
          </w:tcPr>
          <w:p w:rsidR="007178C2" w:rsidRDefault="007178C2"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0,82</w:t>
            </w:r>
          </w:p>
        </w:tc>
        <w:tc>
          <w:tcPr>
            <w:tcW w:w="1250" w:type="pct"/>
            <w:vAlign w:val="center"/>
          </w:tcPr>
          <w:p w:rsidR="007178C2" w:rsidRDefault="007178C2"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9,76</w:t>
            </w:r>
          </w:p>
        </w:tc>
        <w:tc>
          <w:tcPr>
            <w:tcW w:w="1250" w:type="pct"/>
            <w:vAlign w:val="center"/>
          </w:tcPr>
          <w:p w:rsidR="007178C2" w:rsidRDefault="007178C2"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0,66</w:t>
            </w:r>
          </w:p>
        </w:tc>
        <w:tc>
          <w:tcPr>
            <w:tcW w:w="1250" w:type="pct"/>
            <w:vAlign w:val="center"/>
          </w:tcPr>
          <w:p w:rsidR="007178C2" w:rsidRDefault="007178C2"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36,36</w:t>
            </w:r>
          </w:p>
        </w:tc>
      </w:tr>
      <w:tr w:rsidR="007178C2" w:rsidTr="007178C2">
        <w:tc>
          <w:tcPr>
            <w:tcW w:w="1250" w:type="pct"/>
            <w:vAlign w:val="center"/>
          </w:tcPr>
          <w:p w:rsidR="007178C2" w:rsidRDefault="007178C2"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0,81</w:t>
            </w:r>
          </w:p>
        </w:tc>
        <w:tc>
          <w:tcPr>
            <w:tcW w:w="1250" w:type="pct"/>
            <w:vAlign w:val="center"/>
          </w:tcPr>
          <w:p w:rsidR="007178C2" w:rsidRDefault="007178C2"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11,11</w:t>
            </w:r>
          </w:p>
        </w:tc>
        <w:tc>
          <w:tcPr>
            <w:tcW w:w="1250" w:type="pct"/>
            <w:vAlign w:val="center"/>
          </w:tcPr>
          <w:p w:rsidR="007178C2" w:rsidRDefault="007178C2"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0,65</w:t>
            </w:r>
          </w:p>
        </w:tc>
        <w:tc>
          <w:tcPr>
            <w:tcW w:w="1250" w:type="pct"/>
            <w:vAlign w:val="center"/>
          </w:tcPr>
          <w:p w:rsidR="007178C2" w:rsidRDefault="007178C2"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38,46</w:t>
            </w:r>
          </w:p>
        </w:tc>
      </w:tr>
      <w:tr w:rsidR="007178C2" w:rsidTr="007178C2">
        <w:tc>
          <w:tcPr>
            <w:tcW w:w="1250" w:type="pct"/>
            <w:vAlign w:val="center"/>
          </w:tcPr>
          <w:p w:rsidR="007178C2" w:rsidRDefault="007178C2"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0,8</w:t>
            </w:r>
          </w:p>
        </w:tc>
        <w:tc>
          <w:tcPr>
            <w:tcW w:w="1250" w:type="pct"/>
            <w:vAlign w:val="center"/>
          </w:tcPr>
          <w:p w:rsidR="007178C2" w:rsidRDefault="007178C2"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12,5</w:t>
            </w:r>
          </w:p>
        </w:tc>
        <w:tc>
          <w:tcPr>
            <w:tcW w:w="1250" w:type="pct"/>
            <w:vAlign w:val="center"/>
          </w:tcPr>
          <w:p w:rsidR="007178C2" w:rsidRDefault="007178C2"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0,64</w:t>
            </w:r>
          </w:p>
        </w:tc>
        <w:tc>
          <w:tcPr>
            <w:tcW w:w="1250" w:type="pct"/>
            <w:vAlign w:val="center"/>
          </w:tcPr>
          <w:p w:rsidR="007178C2" w:rsidRDefault="007178C2"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40,63</w:t>
            </w:r>
          </w:p>
        </w:tc>
      </w:tr>
      <w:tr w:rsidR="007178C2" w:rsidTr="007178C2">
        <w:tc>
          <w:tcPr>
            <w:tcW w:w="1250" w:type="pct"/>
            <w:vAlign w:val="center"/>
          </w:tcPr>
          <w:p w:rsidR="007178C2" w:rsidRDefault="00D757D1"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0,79</w:t>
            </w:r>
          </w:p>
        </w:tc>
        <w:tc>
          <w:tcPr>
            <w:tcW w:w="1250" w:type="pct"/>
            <w:vAlign w:val="center"/>
          </w:tcPr>
          <w:p w:rsidR="007178C2" w:rsidRDefault="00D757D1"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13,92</w:t>
            </w:r>
          </w:p>
        </w:tc>
        <w:tc>
          <w:tcPr>
            <w:tcW w:w="1250" w:type="pct"/>
            <w:vAlign w:val="center"/>
          </w:tcPr>
          <w:p w:rsidR="007178C2" w:rsidRDefault="00D757D1"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0,63</w:t>
            </w:r>
          </w:p>
        </w:tc>
        <w:tc>
          <w:tcPr>
            <w:tcW w:w="1250" w:type="pct"/>
            <w:vAlign w:val="center"/>
          </w:tcPr>
          <w:p w:rsidR="007178C2" w:rsidRDefault="00D757D1"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42,86</w:t>
            </w:r>
          </w:p>
        </w:tc>
      </w:tr>
      <w:tr w:rsidR="00D757D1" w:rsidTr="007178C2">
        <w:tc>
          <w:tcPr>
            <w:tcW w:w="1250" w:type="pct"/>
            <w:vAlign w:val="center"/>
          </w:tcPr>
          <w:p w:rsidR="00D757D1" w:rsidRDefault="00D757D1"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0,78</w:t>
            </w:r>
          </w:p>
        </w:tc>
        <w:tc>
          <w:tcPr>
            <w:tcW w:w="1250" w:type="pct"/>
            <w:vAlign w:val="center"/>
          </w:tcPr>
          <w:p w:rsidR="00D757D1" w:rsidRDefault="00D757D1"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15,38</w:t>
            </w:r>
          </w:p>
        </w:tc>
        <w:tc>
          <w:tcPr>
            <w:tcW w:w="1250" w:type="pct"/>
            <w:vAlign w:val="center"/>
          </w:tcPr>
          <w:p w:rsidR="00D757D1" w:rsidRDefault="00D757D1"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0,62</w:t>
            </w:r>
          </w:p>
        </w:tc>
        <w:tc>
          <w:tcPr>
            <w:tcW w:w="1250" w:type="pct"/>
            <w:vAlign w:val="center"/>
          </w:tcPr>
          <w:p w:rsidR="00D757D1" w:rsidRDefault="00D757D1"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45,16</w:t>
            </w:r>
          </w:p>
        </w:tc>
      </w:tr>
      <w:tr w:rsidR="00D757D1" w:rsidTr="007178C2">
        <w:tc>
          <w:tcPr>
            <w:tcW w:w="1250" w:type="pct"/>
            <w:vAlign w:val="center"/>
          </w:tcPr>
          <w:p w:rsidR="00D757D1" w:rsidRDefault="00D757D1"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0,77</w:t>
            </w:r>
          </w:p>
        </w:tc>
        <w:tc>
          <w:tcPr>
            <w:tcW w:w="1250" w:type="pct"/>
            <w:vAlign w:val="center"/>
          </w:tcPr>
          <w:p w:rsidR="00D757D1" w:rsidRDefault="00D757D1"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16,88</w:t>
            </w:r>
          </w:p>
        </w:tc>
        <w:tc>
          <w:tcPr>
            <w:tcW w:w="1250" w:type="pct"/>
            <w:vAlign w:val="center"/>
          </w:tcPr>
          <w:p w:rsidR="00D757D1" w:rsidRDefault="00D757D1"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0,61</w:t>
            </w:r>
          </w:p>
        </w:tc>
        <w:tc>
          <w:tcPr>
            <w:tcW w:w="1250" w:type="pct"/>
            <w:vAlign w:val="center"/>
          </w:tcPr>
          <w:p w:rsidR="00D757D1" w:rsidRDefault="00D757D1"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47,54</w:t>
            </w:r>
          </w:p>
        </w:tc>
      </w:tr>
      <w:tr w:rsidR="00D757D1" w:rsidTr="007178C2">
        <w:tc>
          <w:tcPr>
            <w:tcW w:w="1250" w:type="pct"/>
            <w:vAlign w:val="center"/>
          </w:tcPr>
          <w:p w:rsidR="00D757D1" w:rsidRDefault="00D757D1"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0,76</w:t>
            </w:r>
          </w:p>
        </w:tc>
        <w:tc>
          <w:tcPr>
            <w:tcW w:w="1250" w:type="pct"/>
            <w:vAlign w:val="center"/>
          </w:tcPr>
          <w:p w:rsidR="00D757D1" w:rsidRDefault="00D757D1"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18,42</w:t>
            </w:r>
          </w:p>
        </w:tc>
        <w:tc>
          <w:tcPr>
            <w:tcW w:w="1250" w:type="pct"/>
            <w:vAlign w:val="center"/>
          </w:tcPr>
          <w:p w:rsidR="00D757D1" w:rsidRDefault="00D757D1"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0,6</w:t>
            </w:r>
          </w:p>
        </w:tc>
        <w:tc>
          <w:tcPr>
            <w:tcW w:w="1250" w:type="pct"/>
            <w:vAlign w:val="center"/>
          </w:tcPr>
          <w:p w:rsidR="00D757D1" w:rsidRDefault="00D757D1"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50</w:t>
            </w:r>
          </w:p>
        </w:tc>
      </w:tr>
      <w:tr w:rsidR="00D757D1" w:rsidTr="007178C2">
        <w:tc>
          <w:tcPr>
            <w:tcW w:w="1250" w:type="pct"/>
            <w:vAlign w:val="center"/>
          </w:tcPr>
          <w:p w:rsidR="00D757D1" w:rsidRDefault="00D757D1"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0,75</w:t>
            </w:r>
          </w:p>
        </w:tc>
        <w:tc>
          <w:tcPr>
            <w:tcW w:w="1250" w:type="pct"/>
            <w:vAlign w:val="center"/>
          </w:tcPr>
          <w:p w:rsidR="00D757D1" w:rsidRDefault="00D757D1"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20</w:t>
            </w:r>
          </w:p>
        </w:tc>
        <w:tc>
          <w:tcPr>
            <w:tcW w:w="1250" w:type="pct"/>
            <w:vAlign w:val="center"/>
          </w:tcPr>
          <w:p w:rsidR="00D757D1" w:rsidRDefault="00D757D1"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Dưới 0,6</w:t>
            </w:r>
          </w:p>
        </w:tc>
        <w:tc>
          <w:tcPr>
            <w:tcW w:w="1250" w:type="pct"/>
            <w:vAlign w:val="center"/>
          </w:tcPr>
          <w:p w:rsidR="00D757D1" w:rsidRDefault="00D757D1" w:rsidP="007178C2">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52,54</w:t>
            </w:r>
          </w:p>
        </w:tc>
      </w:tr>
    </w:tbl>
    <w:p w:rsidR="007F7247" w:rsidRDefault="007F7247" w:rsidP="006961D9">
      <w:pPr>
        <w:spacing w:after="120"/>
        <w:ind w:firstLine="720"/>
        <w:jc w:val="both"/>
        <w:rPr>
          <w:rFonts w:ascii="Arial" w:hAnsi="Arial" w:cs="Arial"/>
          <w:color w:val="000000" w:themeColor="text1"/>
          <w:sz w:val="20"/>
          <w:szCs w:val="20"/>
        </w:rPr>
      </w:pPr>
    </w:p>
    <w:p w:rsidR="007178C2" w:rsidRPr="006961D9" w:rsidRDefault="007178C2" w:rsidP="006961D9">
      <w:pPr>
        <w:spacing w:after="120"/>
        <w:ind w:firstLine="720"/>
        <w:jc w:val="both"/>
        <w:rPr>
          <w:rFonts w:ascii="Arial" w:hAnsi="Arial" w:cs="Arial"/>
          <w:color w:val="000000" w:themeColor="text1"/>
          <w:sz w:val="20"/>
          <w:szCs w:val="20"/>
        </w:rPr>
      </w:pPr>
    </w:p>
    <w:sectPr w:rsidR="007178C2" w:rsidRPr="006961D9" w:rsidSect="006961D9">
      <w:type w:val="continuous"/>
      <w:pgSz w:w="11900"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C7E" w:rsidRDefault="00F52C7E">
      <w:r>
        <w:separator/>
      </w:r>
    </w:p>
  </w:endnote>
  <w:endnote w:type="continuationSeparator" w:id="0">
    <w:p w:rsidR="00F52C7E" w:rsidRDefault="00F52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C7E" w:rsidRDefault="00F52C7E"/>
  </w:footnote>
  <w:footnote w:type="continuationSeparator" w:id="0">
    <w:p w:rsidR="00F52C7E" w:rsidRDefault="00F52C7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247" w:rsidRDefault="007F7247">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247" w:rsidRDefault="007F7247">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247" w:rsidRDefault="007F724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A0C2B"/>
    <w:multiLevelType w:val="multilevel"/>
    <w:tmpl w:val="21BCAF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AE52B0"/>
    <w:multiLevelType w:val="multilevel"/>
    <w:tmpl w:val="E0D296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D775EA"/>
    <w:multiLevelType w:val="multilevel"/>
    <w:tmpl w:val="D658B0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5456A7"/>
    <w:multiLevelType w:val="multilevel"/>
    <w:tmpl w:val="3E1E9A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49111A"/>
    <w:multiLevelType w:val="multilevel"/>
    <w:tmpl w:val="8DC093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0C39A1"/>
    <w:multiLevelType w:val="multilevel"/>
    <w:tmpl w:val="502AEA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EA0492"/>
    <w:multiLevelType w:val="multilevel"/>
    <w:tmpl w:val="EB6E9C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48446B"/>
    <w:multiLevelType w:val="multilevel"/>
    <w:tmpl w:val="08D05E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5270B9B"/>
    <w:multiLevelType w:val="multilevel"/>
    <w:tmpl w:val="BE647A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390832"/>
    <w:multiLevelType w:val="multilevel"/>
    <w:tmpl w:val="1DDAA6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0FA1447"/>
    <w:multiLevelType w:val="multilevel"/>
    <w:tmpl w:val="267CEA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75D19EA"/>
    <w:multiLevelType w:val="multilevel"/>
    <w:tmpl w:val="BAE699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0A835E7"/>
    <w:multiLevelType w:val="multilevel"/>
    <w:tmpl w:val="3BA6CA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C995720"/>
    <w:multiLevelType w:val="multilevel"/>
    <w:tmpl w:val="6A525A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0"/>
  </w:num>
  <w:num w:numId="3">
    <w:abstractNumId w:val="4"/>
  </w:num>
  <w:num w:numId="4">
    <w:abstractNumId w:val="12"/>
  </w:num>
  <w:num w:numId="5">
    <w:abstractNumId w:val="5"/>
  </w:num>
  <w:num w:numId="6">
    <w:abstractNumId w:val="13"/>
  </w:num>
  <w:num w:numId="7">
    <w:abstractNumId w:val="8"/>
  </w:num>
  <w:num w:numId="8">
    <w:abstractNumId w:val="3"/>
  </w:num>
  <w:num w:numId="9">
    <w:abstractNumId w:val="6"/>
  </w:num>
  <w:num w:numId="10">
    <w:abstractNumId w:val="11"/>
  </w:num>
  <w:num w:numId="11">
    <w:abstractNumId w:val="2"/>
  </w:num>
  <w:num w:numId="12">
    <w:abstractNumId w:val="0"/>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247"/>
    <w:rsid w:val="00005CF7"/>
    <w:rsid w:val="000123F6"/>
    <w:rsid w:val="00026401"/>
    <w:rsid w:val="0002704D"/>
    <w:rsid w:val="00032485"/>
    <w:rsid w:val="00042F09"/>
    <w:rsid w:val="0004414C"/>
    <w:rsid w:val="000663E6"/>
    <w:rsid w:val="00072BF7"/>
    <w:rsid w:val="000816C0"/>
    <w:rsid w:val="000E38E3"/>
    <w:rsid w:val="001566DA"/>
    <w:rsid w:val="00177817"/>
    <w:rsid w:val="001A42F8"/>
    <w:rsid w:val="001A6D9C"/>
    <w:rsid w:val="001C18E3"/>
    <w:rsid w:val="00206910"/>
    <w:rsid w:val="00237CF7"/>
    <w:rsid w:val="00260CEA"/>
    <w:rsid w:val="00262524"/>
    <w:rsid w:val="00274B73"/>
    <w:rsid w:val="00275AFC"/>
    <w:rsid w:val="002B5CED"/>
    <w:rsid w:val="002C26DA"/>
    <w:rsid w:val="002F36A0"/>
    <w:rsid w:val="00301208"/>
    <w:rsid w:val="00313F5F"/>
    <w:rsid w:val="003148AC"/>
    <w:rsid w:val="00341981"/>
    <w:rsid w:val="0035508A"/>
    <w:rsid w:val="00371E48"/>
    <w:rsid w:val="00372504"/>
    <w:rsid w:val="00381943"/>
    <w:rsid w:val="00390DCC"/>
    <w:rsid w:val="004245C3"/>
    <w:rsid w:val="0044494B"/>
    <w:rsid w:val="00454011"/>
    <w:rsid w:val="00463422"/>
    <w:rsid w:val="004D20FE"/>
    <w:rsid w:val="004D4926"/>
    <w:rsid w:val="004F7F17"/>
    <w:rsid w:val="005258F7"/>
    <w:rsid w:val="0056480C"/>
    <w:rsid w:val="005A7FA9"/>
    <w:rsid w:val="005D5B62"/>
    <w:rsid w:val="005D7AF6"/>
    <w:rsid w:val="00605744"/>
    <w:rsid w:val="00611F4C"/>
    <w:rsid w:val="00641955"/>
    <w:rsid w:val="006523B5"/>
    <w:rsid w:val="00684698"/>
    <w:rsid w:val="006961D9"/>
    <w:rsid w:val="006B309D"/>
    <w:rsid w:val="006F3F48"/>
    <w:rsid w:val="007107C5"/>
    <w:rsid w:val="00716604"/>
    <w:rsid w:val="007178C2"/>
    <w:rsid w:val="00740E2C"/>
    <w:rsid w:val="0074241D"/>
    <w:rsid w:val="0074296C"/>
    <w:rsid w:val="007534FA"/>
    <w:rsid w:val="00774EA2"/>
    <w:rsid w:val="007A011E"/>
    <w:rsid w:val="007C08ED"/>
    <w:rsid w:val="007F7247"/>
    <w:rsid w:val="00820FDC"/>
    <w:rsid w:val="00833B84"/>
    <w:rsid w:val="00846557"/>
    <w:rsid w:val="00872E43"/>
    <w:rsid w:val="00883835"/>
    <w:rsid w:val="00891D00"/>
    <w:rsid w:val="008A5604"/>
    <w:rsid w:val="008C4CFF"/>
    <w:rsid w:val="00924AA6"/>
    <w:rsid w:val="0093028A"/>
    <w:rsid w:val="009370D8"/>
    <w:rsid w:val="00945169"/>
    <w:rsid w:val="00994302"/>
    <w:rsid w:val="009D7635"/>
    <w:rsid w:val="009F4118"/>
    <w:rsid w:val="009F67F1"/>
    <w:rsid w:val="00A854D4"/>
    <w:rsid w:val="00AA2C39"/>
    <w:rsid w:val="00AB28F1"/>
    <w:rsid w:val="00AC7F47"/>
    <w:rsid w:val="00AE61F7"/>
    <w:rsid w:val="00B36EF2"/>
    <w:rsid w:val="00B42A8E"/>
    <w:rsid w:val="00B4427B"/>
    <w:rsid w:val="00B53327"/>
    <w:rsid w:val="00B631C1"/>
    <w:rsid w:val="00B71231"/>
    <w:rsid w:val="00B71FB7"/>
    <w:rsid w:val="00BD2D27"/>
    <w:rsid w:val="00C0098E"/>
    <w:rsid w:val="00C02D17"/>
    <w:rsid w:val="00C34B3B"/>
    <w:rsid w:val="00C379D2"/>
    <w:rsid w:val="00C55DF1"/>
    <w:rsid w:val="00C55E51"/>
    <w:rsid w:val="00C744DB"/>
    <w:rsid w:val="00CD0E16"/>
    <w:rsid w:val="00D228AF"/>
    <w:rsid w:val="00D45E9E"/>
    <w:rsid w:val="00D6190B"/>
    <w:rsid w:val="00D757D1"/>
    <w:rsid w:val="00D93D68"/>
    <w:rsid w:val="00DA03B7"/>
    <w:rsid w:val="00DB2CF0"/>
    <w:rsid w:val="00DD2772"/>
    <w:rsid w:val="00E03D68"/>
    <w:rsid w:val="00E06970"/>
    <w:rsid w:val="00E3294A"/>
    <w:rsid w:val="00E46E07"/>
    <w:rsid w:val="00E52F42"/>
    <w:rsid w:val="00E553A8"/>
    <w:rsid w:val="00EE7E07"/>
    <w:rsid w:val="00F0772D"/>
    <w:rsid w:val="00F52C7E"/>
    <w:rsid w:val="00F675EA"/>
    <w:rsid w:val="00FA04FE"/>
    <w:rsid w:val="00FA69AD"/>
    <w:rsid w:val="00FE5DA3"/>
    <w:rsid w:val="00FF5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E9A6FE-B389-402D-AF57-ADB65B87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iCs/>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val="0"/>
      <w:bCs w:val="0"/>
      <w:i w:val="0"/>
      <w:iCs w:val="0"/>
      <w:smallCaps w:val="0"/>
      <w:strike w:val="0"/>
      <w:sz w:val="32"/>
      <w:szCs w:val="32"/>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4">
    <w:name w:val="Văn bản nội dung (4)_"/>
    <w:basedOn w:val="DefaultParagraphFont"/>
    <w:link w:val="Vnbnnidung40"/>
    <w:rPr>
      <w:rFonts w:ascii="Arial" w:eastAsia="Arial" w:hAnsi="Arial" w:cs="Arial"/>
      <w:b/>
      <w:bCs/>
      <w:i w:val="0"/>
      <w:iCs w:val="0"/>
      <w:smallCaps w:val="0"/>
      <w:strike w:val="0"/>
      <w:sz w:val="12"/>
      <w:szCs w:val="12"/>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u w:val="none"/>
      <w:shd w:val="clear" w:color="auto" w:fill="auto"/>
    </w:rPr>
  </w:style>
  <w:style w:type="paragraph" w:customStyle="1" w:styleId="Vnbnnidung0">
    <w:name w:val="Văn bản nội dung"/>
    <w:basedOn w:val="Normal"/>
    <w:link w:val="Vnbnnidung"/>
    <w:pPr>
      <w:spacing w:after="120" w:line="269" w:lineRule="auto"/>
      <w:ind w:firstLine="400"/>
    </w:pPr>
    <w:rPr>
      <w:rFonts w:ascii="Times New Roman" w:eastAsia="Times New Roman" w:hAnsi="Times New Roman" w:cs="Times New Roman"/>
    </w:rPr>
  </w:style>
  <w:style w:type="paragraph" w:customStyle="1" w:styleId="Vnbnnidung30">
    <w:name w:val="Văn bản nội dung (3)"/>
    <w:basedOn w:val="Normal"/>
    <w:link w:val="Vnbnnidung3"/>
    <w:pPr>
      <w:spacing w:after="200" w:line="271" w:lineRule="auto"/>
      <w:ind w:firstLine="540"/>
    </w:pPr>
    <w:rPr>
      <w:rFonts w:ascii="Times New Roman" w:eastAsia="Times New Roman" w:hAnsi="Times New Roman" w:cs="Times New Roman"/>
      <w:i/>
      <w:iCs/>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Tiu10">
    <w:name w:val="Tiêu đề #1"/>
    <w:basedOn w:val="Normal"/>
    <w:link w:val="Tiu1"/>
    <w:pPr>
      <w:spacing w:line="233" w:lineRule="auto"/>
      <w:outlineLvl w:val="0"/>
    </w:pPr>
    <w:rPr>
      <w:rFonts w:ascii="Times New Roman" w:eastAsia="Times New Roman" w:hAnsi="Times New Roman" w:cs="Times New Roman"/>
      <w:sz w:val="32"/>
      <w:szCs w:val="32"/>
    </w:rPr>
  </w:style>
  <w:style w:type="paragraph" w:customStyle="1" w:styleId="Vnbnnidung20">
    <w:name w:val="Văn bản nội dung (2)"/>
    <w:basedOn w:val="Normal"/>
    <w:link w:val="Vnbnnidung2"/>
    <w:rPr>
      <w:rFonts w:ascii="Times New Roman" w:eastAsia="Times New Roman" w:hAnsi="Times New Roman" w:cs="Times New Roman"/>
      <w:sz w:val="20"/>
      <w:szCs w:val="20"/>
    </w:rPr>
  </w:style>
  <w:style w:type="paragraph" w:customStyle="1" w:styleId="Vnbnnidung40">
    <w:name w:val="Văn bản nội dung (4)"/>
    <w:basedOn w:val="Normal"/>
    <w:link w:val="Vnbnnidung4"/>
    <w:pPr>
      <w:spacing w:after="720"/>
      <w:ind w:firstLine="740"/>
    </w:pPr>
    <w:rPr>
      <w:rFonts w:ascii="Arial" w:eastAsia="Arial" w:hAnsi="Arial" w:cs="Arial"/>
      <w:b/>
      <w:bCs/>
      <w:sz w:val="12"/>
      <w:szCs w:val="12"/>
    </w:rPr>
  </w:style>
  <w:style w:type="paragraph" w:customStyle="1" w:styleId="Khc0">
    <w:name w:val="Khác"/>
    <w:basedOn w:val="Normal"/>
    <w:link w:val="Khc"/>
    <w:pPr>
      <w:spacing w:after="120" w:line="269" w:lineRule="auto"/>
      <w:ind w:firstLine="400"/>
    </w:pPr>
    <w:rPr>
      <w:rFonts w:ascii="Times New Roman" w:eastAsia="Times New Roman" w:hAnsi="Times New Roman" w:cs="Times New Roman"/>
    </w:rPr>
  </w:style>
  <w:style w:type="paragraph" w:styleId="Header">
    <w:name w:val="header"/>
    <w:basedOn w:val="Normal"/>
    <w:link w:val="HeaderChar"/>
    <w:uiPriority w:val="99"/>
    <w:unhideWhenUsed/>
    <w:rsid w:val="006961D9"/>
    <w:pPr>
      <w:tabs>
        <w:tab w:val="center" w:pos="4680"/>
        <w:tab w:val="right" w:pos="9360"/>
      </w:tabs>
    </w:pPr>
  </w:style>
  <w:style w:type="character" w:customStyle="1" w:styleId="HeaderChar">
    <w:name w:val="Header Char"/>
    <w:basedOn w:val="DefaultParagraphFont"/>
    <w:link w:val="Header"/>
    <w:uiPriority w:val="99"/>
    <w:rsid w:val="006961D9"/>
    <w:rPr>
      <w:color w:val="000000"/>
    </w:rPr>
  </w:style>
  <w:style w:type="paragraph" w:styleId="Footer">
    <w:name w:val="footer"/>
    <w:basedOn w:val="Normal"/>
    <w:link w:val="FooterChar"/>
    <w:unhideWhenUsed/>
    <w:rsid w:val="006961D9"/>
    <w:pPr>
      <w:tabs>
        <w:tab w:val="center" w:pos="4680"/>
        <w:tab w:val="right" w:pos="9360"/>
      </w:tabs>
    </w:pPr>
  </w:style>
  <w:style w:type="character" w:customStyle="1" w:styleId="FooterChar">
    <w:name w:val="Footer Char"/>
    <w:basedOn w:val="DefaultParagraphFont"/>
    <w:link w:val="Footer"/>
    <w:rsid w:val="006961D9"/>
    <w:rPr>
      <w:color w:val="000000"/>
    </w:rPr>
  </w:style>
  <w:style w:type="table" w:styleId="TableGrid">
    <w:name w:val="Table Grid"/>
    <w:basedOn w:val="TableNormal"/>
    <w:uiPriority w:val="39"/>
    <w:rsid w:val="00717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75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2439</Words>
  <Characters>13906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4</cp:revision>
  <dcterms:created xsi:type="dcterms:W3CDTF">2025-02-09T15:29:00Z</dcterms:created>
  <dcterms:modified xsi:type="dcterms:W3CDTF">2025-02-10T01:14:00Z</dcterms:modified>
</cp:coreProperties>
</file>