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5614"/>
      </w:tblGrid>
      <w:tr w:rsidR="001C3AC0" w:rsidRPr="001C3AC0" w:rsidTr="003E3C41">
        <w:trPr>
          <w:trHeight w:val="920"/>
        </w:trPr>
        <w:tc>
          <w:tcPr>
            <w:tcW w:w="189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AC0" w:rsidRPr="001C3AC0" w:rsidRDefault="001C3AC0" w:rsidP="001C3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>BỘ TÀI CHÍNH</w:t>
            </w: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C3AC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</w:t>
            </w:r>
          </w:p>
          <w:p w:rsidR="001C3AC0" w:rsidRPr="001C3AC0" w:rsidRDefault="001C3AC0" w:rsidP="001C3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: 2286/QĐ-BTC</w:t>
            </w:r>
          </w:p>
        </w:tc>
        <w:tc>
          <w:tcPr>
            <w:tcW w:w="311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AC0" w:rsidRPr="001C3AC0" w:rsidRDefault="001C3AC0" w:rsidP="001C3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>Độc</w:t>
            </w:r>
            <w:proofErr w:type="spellEnd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>lập</w:t>
            </w:r>
            <w:proofErr w:type="spellEnd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>Tự</w:t>
            </w:r>
            <w:proofErr w:type="spellEnd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- </w:t>
            </w:r>
            <w:proofErr w:type="spellStart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>Hạnh</w:t>
            </w:r>
            <w:proofErr w:type="spellEnd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>phúc</w:t>
            </w:r>
            <w:proofErr w:type="spellEnd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C3AC0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_______________________</w:t>
            </w:r>
          </w:p>
          <w:p w:rsidR="001C3AC0" w:rsidRPr="001C3AC0" w:rsidRDefault="001C3AC0" w:rsidP="001C3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3AC0">
              <w:rPr>
                <w:rFonts w:ascii="Arial" w:hAnsi="Arial" w:cs="Arial"/>
                <w:i/>
                <w:iCs/>
                <w:sz w:val="20"/>
                <w:szCs w:val="20"/>
              </w:rPr>
              <w:t>Hà</w:t>
            </w:r>
            <w:proofErr w:type="spellEnd"/>
            <w:r w:rsidRPr="001C3A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i/>
                <w:iCs/>
                <w:sz w:val="20"/>
                <w:szCs w:val="20"/>
              </w:rPr>
              <w:t>Nội</w:t>
            </w:r>
            <w:proofErr w:type="spellEnd"/>
            <w:r w:rsidRPr="001C3A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1C3AC0">
              <w:rPr>
                <w:rFonts w:ascii="Arial" w:hAnsi="Arial" w:cs="Arial"/>
                <w:i/>
                <w:iCs/>
                <w:sz w:val="20"/>
                <w:szCs w:val="20"/>
              </w:rPr>
              <w:t>ngày</w:t>
            </w:r>
            <w:proofErr w:type="spellEnd"/>
            <w:r w:rsidRPr="001C3A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26 </w:t>
            </w:r>
            <w:proofErr w:type="spellStart"/>
            <w:r w:rsidRPr="001C3AC0">
              <w:rPr>
                <w:rFonts w:ascii="Arial" w:hAnsi="Arial" w:cs="Arial"/>
                <w:i/>
                <w:iCs/>
                <w:sz w:val="20"/>
                <w:szCs w:val="20"/>
              </w:rPr>
              <w:t>tháng</w:t>
            </w:r>
            <w:proofErr w:type="spellEnd"/>
            <w:r w:rsidRPr="001C3A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9 </w:t>
            </w:r>
            <w:proofErr w:type="spellStart"/>
            <w:r w:rsidRPr="001C3AC0">
              <w:rPr>
                <w:rFonts w:ascii="Arial" w:hAnsi="Arial" w:cs="Arial"/>
                <w:i/>
                <w:iCs/>
                <w:sz w:val="20"/>
                <w:szCs w:val="20"/>
              </w:rPr>
              <w:t>năm</w:t>
            </w:r>
            <w:proofErr w:type="spellEnd"/>
            <w:r w:rsidRPr="001C3A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2024</w:t>
            </w:r>
          </w:p>
        </w:tc>
      </w:tr>
    </w:tbl>
    <w:p w:rsidR="00000000" w:rsidRDefault="00715C8C" w:rsidP="001C3AC0">
      <w:pPr>
        <w:jc w:val="center"/>
        <w:rPr>
          <w:rFonts w:ascii="Arial" w:hAnsi="Arial" w:cs="Arial"/>
          <w:sz w:val="20"/>
          <w:szCs w:val="20"/>
        </w:rPr>
      </w:pPr>
    </w:p>
    <w:p w:rsidR="001C3AC0" w:rsidRPr="001C3AC0" w:rsidRDefault="001C3AC0" w:rsidP="001C3AC0">
      <w:pPr>
        <w:jc w:val="center"/>
        <w:rPr>
          <w:rFonts w:ascii="Arial" w:hAnsi="Arial" w:cs="Arial"/>
          <w:sz w:val="20"/>
          <w:szCs w:val="20"/>
        </w:rPr>
      </w:pPr>
    </w:p>
    <w:p w:rsidR="00000000" w:rsidRPr="001C3AC0" w:rsidRDefault="00715C8C" w:rsidP="001C3AC0">
      <w:pPr>
        <w:jc w:val="center"/>
        <w:rPr>
          <w:rFonts w:ascii="Arial" w:hAnsi="Arial" w:cs="Arial"/>
          <w:sz w:val="20"/>
          <w:szCs w:val="20"/>
        </w:rPr>
      </w:pPr>
      <w:bookmarkStart w:id="0" w:name="loai_1"/>
      <w:r w:rsidRPr="001C3AC0">
        <w:rPr>
          <w:rFonts w:ascii="Arial" w:hAnsi="Arial" w:cs="Arial"/>
          <w:b/>
          <w:bCs/>
          <w:sz w:val="20"/>
          <w:szCs w:val="20"/>
        </w:rPr>
        <w:t>QUYẾT ĐỊNH</w:t>
      </w:r>
      <w:bookmarkEnd w:id="0"/>
    </w:p>
    <w:p w:rsidR="00BB33B4" w:rsidRDefault="001C3AC0" w:rsidP="001C3AC0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1C3AC0">
        <w:rPr>
          <w:rFonts w:ascii="Arial" w:hAnsi="Arial" w:cs="Arial"/>
          <w:b/>
          <w:sz w:val="20"/>
          <w:szCs w:val="20"/>
        </w:rPr>
        <w:t>Về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việc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bổ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sung </w:t>
      </w:r>
      <w:proofErr w:type="spellStart"/>
      <w:r w:rsidR="00BB33B4" w:rsidRPr="001C3AC0">
        <w:rPr>
          <w:rFonts w:ascii="Arial" w:hAnsi="Arial" w:cs="Arial"/>
          <w:b/>
          <w:sz w:val="20"/>
          <w:szCs w:val="20"/>
        </w:rPr>
        <w:t>Danh</w:t>
      </w:r>
      <w:proofErr w:type="spellEnd"/>
      <w:r w:rsidR="00BB33B4"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sách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các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cửa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khẩu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áp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dụng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tờ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khai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hải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quan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</w:p>
    <w:p w:rsidR="00000000" w:rsidRPr="001C3AC0" w:rsidRDefault="001C3AC0" w:rsidP="001C3AC0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1C3AC0">
        <w:rPr>
          <w:rFonts w:ascii="Arial" w:hAnsi="Arial" w:cs="Arial"/>
          <w:b/>
          <w:sz w:val="20"/>
          <w:szCs w:val="20"/>
        </w:rPr>
        <w:t>dùng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cho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người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xuất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cảnh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nhập</w:t>
      </w:r>
      <w:proofErr w:type="spellEnd"/>
      <w:r w:rsidRPr="001C3AC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b/>
          <w:sz w:val="20"/>
          <w:szCs w:val="20"/>
        </w:rPr>
        <w:t>cảnh</w:t>
      </w:r>
      <w:proofErr w:type="spellEnd"/>
    </w:p>
    <w:p w:rsidR="001C3AC0" w:rsidRPr="001C3AC0" w:rsidRDefault="001C3AC0" w:rsidP="001C3AC0">
      <w:pPr>
        <w:jc w:val="center"/>
        <w:rPr>
          <w:rFonts w:ascii="Arial" w:hAnsi="Arial" w:cs="Arial"/>
          <w:sz w:val="20"/>
          <w:szCs w:val="20"/>
          <w:vertAlign w:val="superscript"/>
        </w:rPr>
      </w:pPr>
      <w:r w:rsidRPr="001C3AC0">
        <w:rPr>
          <w:rFonts w:ascii="Arial" w:hAnsi="Arial" w:cs="Arial"/>
          <w:sz w:val="20"/>
          <w:szCs w:val="20"/>
          <w:vertAlign w:val="superscript"/>
        </w:rPr>
        <w:t>______________</w:t>
      </w:r>
    </w:p>
    <w:p w:rsidR="00000000" w:rsidRDefault="00715C8C" w:rsidP="001C3A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3AC0">
        <w:rPr>
          <w:rFonts w:ascii="Arial" w:hAnsi="Arial" w:cs="Arial"/>
          <w:b/>
          <w:bCs/>
          <w:sz w:val="20"/>
          <w:szCs w:val="20"/>
        </w:rPr>
        <w:t>BỘ TRƯỞNG BỘ TÀI CHÍNH</w:t>
      </w:r>
    </w:p>
    <w:p w:rsidR="001C3AC0" w:rsidRPr="001C3AC0" w:rsidRDefault="001C3AC0" w:rsidP="001C3AC0">
      <w:pPr>
        <w:jc w:val="center"/>
        <w:rPr>
          <w:rFonts w:ascii="Arial" w:hAnsi="Arial" w:cs="Arial"/>
          <w:sz w:val="20"/>
          <w:szCs w:val="20"/>
        </w:rPr>
      </w:pPr>
    </w:p>
    <w:p w:rsidR="00000000" w:rsidRPr="001C3AC0" w:rsidRDefault="00715C8C" w:rsidP="001C3AC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87/2017/NĐ-CP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26/7/2017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phủ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năng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nhiệm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vụ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quyền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hạn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cơ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cấu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tổ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chức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Tài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>;</w:t>
      </w:r>
    </w:p>
    <w:p w:rsidR="00000000" w:rsidRPr="001C3AC0" w:rsidRDefault="00715C8C" w:rsidP="001C3AC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Thông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tư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120/2015/TT-BTC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14/8/2015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trưởng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Tài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về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mẫu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chế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độ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in,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phát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quản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lý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sử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dụng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tờ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khai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hải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quan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dùng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cho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người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xuất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cảnh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nhập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cảnh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>;</w:t>
      </w:r>
    </w:p>
    <w:p w:rsidR="00000000" w:rsidRPr="001C3AC0" w:rsidRDefault="00715C8C" w:rsidP="001C3AC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Thông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tư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52/2017/TT-BTC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19/5/2017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sửa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đổi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bổ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sung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một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điều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Thông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tư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120/2015/TT-BTC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14/8/2015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trưởng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Tài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chính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quy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định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về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mẫu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chế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độ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in,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phát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hành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quản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lý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sử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dụng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tờ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khai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hải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quan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dùng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cho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người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xuất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cảnh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nhập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cảnh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>;</w:t>
      </w:r>
    </w:p>
    <w:p w:rsidR="00000000" w:rsidRPr="001C3AC0" w:rsidRDefault="00715C8C" w:rsidP="001C3AC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Căn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cứ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công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văn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số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3722/BCA-A08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ngày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06/12/2019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Bộ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Công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an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về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việc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cung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cấp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thông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tin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về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tình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hình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trang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bị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máy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đọc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hộ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chiếu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kết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nối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mạng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máy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tính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tại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các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cửa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khẩu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>;</w:t>
      </w:r>
    </w:p>
    <w:p w:rsidR="00000000" w:rsidRDefault="00715C8C" w:rsidP="005215CD">
      <w:pPr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1C3AC0">
        <w:rPr>
          <w:rFonts w:ascii="Arial" w:hAnsi="Arial" w:cs="Arial"/>
          <w:i/>
          <w:iCs/>
          <w:sz w:val="20"/>
          <w:szCs w:val="20"/>
        </w:rPr>
        <w:t xml:space="preserve">Theo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đề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nghị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Tổng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cục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trưởng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Tổng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cục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Hải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i/>
          <w:iCs/>
          <w:sz w:val="20"/>
          <w:szCs w:val="20"/>
        </w:rPr>
        <w:t>quan</w:t>
      </w:r>
      <w:proofErr w:type="spellEnd"/>
      <w:r w:rsidRPr="001C3AC0">
        <w:rPr>
          <w:rFonts w:ascii="Arial" w:hAnsi="Arial" w:cs="Arial"/>
          <w:i/>
          <w:iCs/>
          <w:sz w:val="20"/>
          <w:szCs w:val="20"/>
        </w:rPr>
        <w:t>,</w:t>
      </w:r>
    </w:p>
    <w:p w:rsidR="00E44C74" w:rsidRPr="001C3AC0" w:rsidRDefault="00E44C74" w:rsidP="00E44C74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715C8C" w:rsidP="00E44C7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C3AC0">
        <w:rPr>
          <w:rFonts w:ascii="Arial" w:hAnsi="Arial" w:cs="Arial"/>
          <w:b/>
          <w:bCs/>
          <w:sz w:val="20"/>
          <w:szCs w:val="20"/>
        </w:rPr>
        <w:t>QUYẾT ĐỊNH:</w:t>
      </w:r>
    </w:p>
    <w:p w:rsidR="00E44C74" w:rsidRPr="001C3AC0" w:rsidRDefault="00E44C74" w:rsidP="00E44C74">
      <w:pPr>
        <w:jc w:val="center"/>
        <w:rPr>
          <w:rFonts w:ascii="Arial" w:hAnsi="Arial" w:cs="Arial"/>
          <w:sz w:val="20"/>
          <w:szCs w:val="20"/>
        </w:rPr>
      </w:pPr>
    </w:p>
    <w:p w:rsidR="00000000" w:rsidRPr="001C3AC0" w:rsidRDefault="00715C8C" w:rsidP="001C3AC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1C3AC0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1C3AC0">
        <w:rPr>
          <w:rFonts w:ascii="Arial" w:hAnsi="Arial" w:cs="Arial"/>
          <w:b/>
          <w:bCs/>
          <w:sz w:val="20"/>
          <w:szCs w:val="20"/>
        </w:rPr>
        <w:t xml:space="preserve"> 1.</w:t>
      </w:r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Bổ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sung </w:t>
      </w:r>
      <w:proofErr w:type="spellStart"/>
      <w:r w:rsidRPr="001C3AC0">
        <w:rPr>
          <w:rFonts w:ascii="Arial" w:hAnsi="Arial" w:cs="Arial"/>
          <w:sz w:val="20"/>
          <w:szCs w:val="20"/>
        </w:rPr>
        <w:t>cửa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khẩu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áp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dụng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tờ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khai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hải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quan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dùng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cho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người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xuất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cảnh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sz w:val="20"/>
          <w:szCs w:val="20"/>
        </w:rPr>
        <w:t>nhập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cảnh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theo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mẫu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1C3AC0">
        <w:rPr>
          <w:rFonts w:ascii="Arial" w:hAnsi="Arial" w:cs="Arial"/>
          <w:sz w:val="20"/>
          <w:szCs w:val="20"/>
        </w:rPr>
        <w:t>hành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kèm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theo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Thông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tư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số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120/2015/TT-BTC </w:t>
      </w:r>
      <w:proofErr w:type="spellStart"/>
      <w:r w:rsidRPr="001C3AC0">
        <w:rPr>
          <w:rFonts w:ascii="Arial" w:hAnsi="Arial" w:cs="Arial"/>
          <w:sz w:val="20"/>
          <w:szCs w:val="20"/>
        </w:rPr>
        <w:t>ngày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14/8/2015 </w:t>
      </w:r>
      <w:proofErr w:type="spellStart"/>
      <w:r w:rsidRPr="001C3AC0">
        <w:rPr>
          <w:rFonts w:ascii="Arial" w:hAnsi="Arial" w:cs="Arial"/>
          <w:sz w:val="20"/>
          <w:szCs w:val="20"/>
        </w:rPr>
        <w:t>được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sửa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đổi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sz w:val="20"/>
          <w:szCs w:val="20"/>
        </w:rPr>
        <w:t>bổ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sung </w:t>
      </w:r>
      <w:proofErr w:type="spellStart"/>
      <w:r w:rsidRPr="001C3AC0">
        <w:rPr>
          <w:rFonts w:ascii="Arial" w:hAnsi="Arial" w:cs="Arial"/>
          <w:sz w:val="20"/>
          <w:szCs w:val="20"/>
        </w:rPr>
        <w:t>tại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Thông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tư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số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52/2017/TT-BTC </w:t>
      </w:r>
      <w:proofErr w:type="spellStart"/>
      <w:r w:rsidRPr="001C3AC0">
        <w:rPr>
          <w:rFonts w:ascii="Arial" w:hAnsi="Arial" w:cs="Arial"/>
          <w:sz w:val="20"/>
          <w:szCs w:val="20"/>
        </w:rPr>
        <w:t>ngày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19/5/2017 </w:t>
      </w:r>
      <w:proofErr w:type="spellStart"/>
      <w:r w:rsidRPr="001C3AC0">
        <w:rPr>
          <w:rFonts w:ascii="Arial" w:hAnsi="Arial" w:cs="Arial"/>
          <w:sz w:val="20"/>
          <w:szCs w:val="20"/>
        </w:rPr>
        <w:t>của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Bộ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Tài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chính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quy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định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về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mẫu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sz w:val="20"/>
          <w:szCs w:val="20"/>
        </w:rPr>
        <w:t>chế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độ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in, </w:t>
      </w:r>
      <w:proofErr w:type="spellStart"/>
      <w:r w:rsidRPr="001C3AC0">
        <w:rPr>
          <w:rFonts w:ascii="Arial" w:hAnsi="Arial" w:cs="Arial"/>
          <w:sz w:val="20"/>
          <w:szCs w:val="20"/>
        </w:rPr>
        <w:t>phát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hành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sz w:val="20"/>
          <w:szCs w:val="20"/>
        </w:rPr>
        <w:t>quản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lý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và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sử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dụng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tờ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khai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hải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quan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dùng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cho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người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xuất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cảnh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sz w:val="20"/>
          <w:szCs w:val="20"/>
        </w:rPr>
        <w:t>nhập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cảnh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sz w:val="20"/>
          <w:szCs w:val="20"/>
        </w:rPr>
        <w:t>cụ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thể</w:t>
      </w:r>
      <w:proofErr w:type="spellEnd"/>
      <w:r w:rsidRPr="001C3AC0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3608"/>
        <w:gridCol w:w="2513"/>
      </w:tblGrid>
      <w:tr w:rsidR="00000000" w:rsidRPr="001C3AC0" w:rsidTr="0007151E">
        <w:tc>
          <w:tcPr>
            <w:tcW w:w="16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1C3AC0" w:rsidRDefault="00715C8C" w:rsidP="00071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Tên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cửa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khẩu</w:t>
            </w:r>
            <w:proofErr w:type="spellEnd"/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1C3AC0" w:rsidRDefault="00715C8C" w:rsidP="00071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Cục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Hải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quản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lý</w:t>
            </w:r>
            <w:proofErr w:type="spellEnd"/>
          </w:p>
        </w:tc>
        <w:tc>
          <w:tcPr>
            <w:tcW w:w="139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1C3AC0" w:rsidRDefault="00715C8C" w:rsidP="00071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Tỉnh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Thành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phố</w:t>
            </w:r>
            <w:proofErr w:type="spellEnd"/>
          </w:p>
        </w:tc>
      </w:tr>
      <w:tr w:rsidR="00000000" w:rsidRPr="001C3AC0" w:rsidTr="0007151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1C3AC0" w:rsidRDefault="00715C8C" w:rsidP="00071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Cửa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khẩu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Hoành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Mô</w:t>
            </w:r>
            <w:proofErr w:type="spellEnd"/>
          </w:p>
        </w:tc>
        <w:tc>
          <w:tcPr>
            <w:tcW w:w="20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1C3AC0" w:rsidRDefault="00715C8C" w:rsidP="00071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Cục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Hải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tỉnh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Quảng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Ninh</w:t>
            </w:r>
            <w:proofErr w:type="spellEnd"/>
          </w:p>
        </w:tc>
        <w:tc>
          <w:tcPr>
            <w:tcW w:w="13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Pr="001C3AC0" w:rsidRDefault="00715C8C" w:rsidP="00071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Quảng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Ninh</w:t>
            </w:r>
            <w:proofErr w:type="spellEnd"/>
          </w:p>
        </w:tc>
      </w:tr>
    </w:tbl>
    <w:p w:rsidR="00000000" w:rsidRPr="001C3AC0" w:rsidRDefault="00715C8C" w:rsidP="001C3AC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1C3AC0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1C3AC0">
        <w:rPr>
          <w:rFonts w:ascii="Arial" w:hAnsi="Arial" w:cs="Arial"/>
          <w:b/>
          <w:bCs/>
          <w:sz w:val="20"/>
          <w:szCs w:val="20"/>
        </w:rPr>
        <w:t xml:space="preserve"> 2.</w:t>
      </w:r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Quyết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định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này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có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hiệu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lực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thi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hành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kể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từ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ngày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ký</w:t>
      </w:r>
      <w:proofErr w:type="spellEnd"/>
      <w:r w:rsidRPr="001C3AC0">
        <w:rPr>
          <w:rFonts w:ascii="Arial" w:hAnsi="Arial" w:cs="Arial"/>
          <w:sz w:val="20"/>
          <w:szCs w:val="20"/>
        </w:rPr>
        <w:t>.</w:t>
      </w:r>
    </w:p>
    <w:p w:rsidR="00000000" w:rsidRPr="001C3AC0" w:rsidRDefault="00715C8C" w:rsidP="0007151E">
      <w:pPr>
        <w:ind w:firstLine="720"/>
        <w:jc w:val="both"/>
        <w:rPr>
          <w:rFonts w:ascii="Arial" w:hAnsi="Arial" w:cs="Arial"/>
          <w:sz w:val="20"/>
          <w:szCs w:val="20"/>
        </w:rPr>
      </w:pPr>
      <w:proofErr w:type="spellStart"/>
      <w:r w:rsidRPr="001C3AC0">
        <w:rPr>
          <w:rFonts w:ascii="Arial" w:hAnsi="Arial" w:cs="Arial"/>
          <w:b/>
          <w:bCs/>
          <w:sz w:val="20"/>
          <w:szCs w:val="20"/>
        </w:rPr>
        <w:t>Điều</w:t>
      </w:r>
      <w:proofErr w:type="spellEnd"/>
      <w:r w:rsidRPr="001C3AC0">
        <w:rPr>
          <w:rFonts w:ascii="Arial" w:hAnsi="Arial" w:cs="Arial"/>
          <w:b/>
          <w:bCs/>
          <w:sz w:val="20"/>
          <w:szCs w:val="20"/>
        </w:rPr>
        <w:t xml:space="preserve"> 3.</w:t>
      </w:r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Tổng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cục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trưởng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Tổng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cục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Hải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quan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sz w:val="20"/>
          <w:szCs w:val="20"/>
        </w:rPr>
        <w:t>Chánh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Văn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phòng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Bộ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Tài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chính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sz w:val="20"/>
          <w:szCs w:val="20"/>
        </w:rPr>
        <w:t>Thủ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trưởng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các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đơn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vị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thuộc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Bộ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Tài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chính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sz w:val="20"/>
          <w:szCs w:val="20"/>
        </w:rPr>
        <w:t>các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cơ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quan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sz w:val="20"/>
          <w:szCs w:val="20"/>
        </w:rPr>
        <w:t>tổ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chức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AC0">
        <w:rPr>
          <w:rFonts w:ascii="Arial" w:hAnsi="Arial" w:cs="Arial"/>
          <w:sz w:val="20"/>
          <w:szCs w:val="20"/>
        </w:rPr>
        <w:t>cá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nhân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có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liên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quan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chịu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trách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nhiệm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thi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hành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Quyết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định</w:t>
      </w:r>
      <w:proofErr w:type="spellEnd"/>
      <w:r w:rsidRPr="001C3A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C3AC0">
        <w:rPr>
          <w:rFonts w:ascii="Arial" w:hAnsi="Arial" w:cs="Arial"/>
          <w:sz w:val="20"/>
          <w:szCs w:val="20"/>
        </w:rPr>
        <w:t>này</w:t>
      </w:r>
      <w:proofErr w:type="spellEnd"/>
      <w:r w:rsidRPr="001C3AC0">
        <w:rPr>
          <w:rFonts w:ascii="Arial" w:hAnsi="Arial" w:cs="Arial"/>
          <w:sz w:val="20"/>
          <w:szCs w:val="20"/>
        </w:rPr>
        <w:t>./.</w:t>
      </w:r>
    </w:p>
    <w:p w:rsidR="00000000" w:rsidRPr="001C3AC0" w:rsidRDefault="00715C8C" w:rsidP="0007151E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1C3AC0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064"/>
      </w:tblGrid>
      <w:tr w:rsidR="00000000" w:rsidRPr="001C3AC0" w:rsidTr="0007151E">
        <w:tc>
          <w:tcPr>
            <w:tcW w:w="274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C3AC0" w:rsidRDefault="00715C8C" w:rsidP="0007151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C3A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</w:t>
            </w:r>
            <w:proofErr w:type="spellEnd"/>
            <w:r w:rsidRPr="001C3A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nhận</w:t>
            </w:r>
            <w:proofErr w:type="spellEnd"/>
            <w:r w:rsidRPr="001C3A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</w:r>
            <w:r w:rsidRPr="001C3AC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Như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Điều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3;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Thủ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tướng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Chính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phủ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Phó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TTCP;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Văn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phòng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TW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Đảng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Ban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của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Đảng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Văn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phòng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Tổng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Bí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thư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Văn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phòng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Quốc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Hội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Văn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phòng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Chủ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tịch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nước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Tòa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án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dân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Tối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Viện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kiểm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sát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Nhân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dân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Tối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cao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Kiểm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toán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Nhà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nước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cơ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ngang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cơ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thuộc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Chính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phủ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UBND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tỉnh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thành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phố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trực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thuộc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TW;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Phòng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Thương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mại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và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nghiệp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Việt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Nam;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Cục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Hải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các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tỉnh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liên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tỉnh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thành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phố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Công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báo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Pr="001C3AC0">
              <w:rPr>
                <w:rFonts w:ascii="Arial" w:hAnsi="Arial" w:cs="Arial"/>
                <w:sz w:val="20"/>
                <w:szCs w:val="20"/>
              </w:rPr>
              <w:t xml:space="preserve"> Website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Chính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phủ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Website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Tổng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cục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Hải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quan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Lãnh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đạo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Bộ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;</w:t>
            </w:r>
            <w:r w:rsidRPr="001C3AC0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proofErr w:type="spellStart"/>
            <w:r w:rsidRPr="001C3AC0">
              <w:rPr>
                <w:rFonts w:ascii="Arial" w:hAnsi="Arial" w:cs="Arial"/>
                <w:sz w:val="20"/>
                <w:szCs w:val="20"/>
              </w:rPr>
              <w:t>Lưu</w:t>
            </w:r>
            <w:proofErr w:type="spellEnd"/>
            <w:r w:rsidRPr="001C3AC0">
              <w:rPr>
                <w:rFonts w:ascii="Arial" w:hAnsi="Arial" w:cs="Arial"/>
                <w:sz w:val="20"/>
                <w:szCs w:val="20"/>
              </w:rPr>
              <w:t>: VT, TCHQ (95b).</w:t>
            </w:r>
          </w:p>
        </w:tc>
        <w:tc>
          <w:tcPr>
            <w:tcW w:w="225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Pr="001C3AC0" w:rsidRDefault="00715C8C" w:rsidP="000715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>TL. BỘ TRƯỞNG</w:t>
            </w: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KT. TỔNG CỤC TRƯỞNG TỔNG CỤC HẢI QUAN</w:t>
            </w: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PHÓ TỔNG CỤC TRƯỞNG</w:t>
            </w: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>Âu</w:t>
            </w:r>
            <w:proofErr w:type="spellEnd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>Anh</w:t>
            </w:r>
            <w:proofErr w:type="spellEnd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C3AC0">
              <w:rPr>
                <w:rFonts w:ascii="Arial" w:hAnsi="Arial" w:cs="Arial"/>
                <w:b/>
                <w:bCs/>
                <w:sz w:val="20"/>
                <w:szCs w:val="20"/>
              </w:rPr>
              <w:t>Tuấn</w:t>
            </w:r>
            <w:proofErr w:type="spellEnd"/>
          </w:p>
        </w:tc>
      </w:tr>
    </w:tbl>
    <w:p w:rsidR="00715C8C" w:rsidRPr="001C3AC0" w:rsidRDefault="00715C8C" w:rsidP="001C3AC0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1C3AC0">
        <w:rPr>
          <w:rFonts w:ascii="Arial" w:hAnsi="Arial" w:cs="Arial"/>
          <w:sz w:val="20"/>
          <w:szCs w:val="20"/>
        </w:rPr>
        <w:t> </w:t>
      </w:r>
      <w:bookmarkStart w:id="1" w:name="_GoBack"/>
      <w:bookmarkEnd w:id="1"/>
    </w:p>
    <w:sectPr w:rsidR="00715C8C" w:rsidRPr="001C3AC0" w:rsidSect="001C3AC0">
      <w:pgSz w:w="11906" w:h="16838" w:code="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C0"/>
    <w:rsid w:val="0007151E"/>
    <w:rsid w:val="001C3AC0"/>
    <w:rsid w:val="00371899"/>
    <w:rsid w:val="004D42C8"/>
    <w:rsid w:val="005215CD"/>
    <w:rsid w:val="00715C8C"/>
    <w:rsid w:val="008E6E15"/>
    <w:rsid w:val="009E02EF"/>
    <w:rsid w:val="00AC5A5C"/>
    <w:rsid w:val="00BB33B4"/>
    <w:rsid w:val="00C72999"/>
    <w:rsid w:val="00E44C74"/>
    <w:rsid w:val="00F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F8C1A7"/>
  <w15:chartTrackingRefBased/>
  <w15:docId w15:val="{E575C78B-1DED-41E4-9A32-1A6F6086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cp:lastPrinted>1601-01-01T00:00:00Z</cp:lastPrinted>
  <dcterms:created xsi:type="dcterms:W3CDTF">2024-10-01T01:54:00Z</dcterms:created>
  <dcterms:modified xsi:type="dcterms:W3CDTF">2024-10-01T01:54:00Z</dcterms:modified>
</cp:coreProperties>
</file>