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7A1E29" w:rsidRPr="0036648E" w:rsidTr="00462FFD">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7A1E29" w:rsidRPr="0036648E" w:rsidRDefault="007A1E29" w:rsidP="007A1E29">
            <w:pPr>
              <w:jc w:val="center"/>
              <w:rPr>
                <w:rFonts w:ascii="Arial" w:hAnsi="Arial" w:cs="Arial"/>
                <w:sz w:val="20"/>
                <w:szCs w:val="20"/>
              </w:rPr>
            </w:pPr>
            <w:r w:rsidRPr="0036648E">
              <w:rPr>
                <w:rFonts w:ascii="Arial" w:hAnsi="Arial" w:cs="Arial"/>
                <w:b/>
                <w:bCs/>
                <w:sz w:val="20"/>
                <w:szCs w:val="20"/>
              </w:rPr>
              <w:t>BỘ TÀI CHÍNH</w:t>
            </w:r>
            <w:r w:rsidRPr="0036648E">
              <w:rPr>
                <w:rFonts w:ascii="Arial" w:hAnsi="Arial" w:cs="Arial"/>
                <w:b/>
                <w:bCs/>
                <w:sz w:val="20"/>
                <w:szCs w:val="20"/>
              </w:rPr>
              <w:br/>
            </w:r>
            <w:r w:rsidRPr="007A1E29">
              <w:rPr>
                <w:rFonts w:ascii="Arial" w:hAnsi="Arial" w:cs="Arial"/>
                <w:bCs/>
                <w:sz w:val="20"/>
                <w:szCs w:val="20"/>
                <w:vertAlign w:val="superscript"/>
              </w:rPr>
              <w:t>__________</w:t>
            </w:r>
          </w:p>
          <w:p w:rsidR="007A1E29" w:rsidRPr="0036648E" w:rsidRDefault="007A1E29" w:rsidP="007A1E29">
            <w:pPr>
              <w:jc w:val="center"/>
              <w:rPr>
                <w:rFonts w:ascii="Arial" w:hAnsi="Arial" w:cs="Arial"/>
                <w:sz w:val="20"/>
                <w:szCs w:val="20"/>
              </w:rPr>
            </w:pPr>
            <w:r w:rsidRPr="0036648E">
              <w:rPr>
                <w:rFonts w:ascii="Arial" w:hAnsi="Arial" w:cs="Arial"/>
                <w:sz w:val="20"/>
                <w:szCs w:val="20"/>
              </w:rPr>
              <w:t>Số: 01/2025/TT-BTC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7A1E29" w:rsidRPr="0036648E" w:rsidRDefault="007A1E29" w:rsidP="007A1E29">
            <w:pPr>
              <w:jc w:val="center"/>
              <w:rPr>
                <w:rFonts w:ascii="Arial" w:hAnsi="Arial" w:cs="Arial"/>
                <w:sz w:val="20"/>
                <w:szCs w:val="20"/>
              </w:rPr>
            </w:pPr>
            <w:r w:rsidRPr="0036648E">
              <w:rPr>
                <w:rFonts w:ascii="Arial" w:hAnsi="Arial" w:cs="Arial"/>
                <w:b/>
                <w:bCs/>
                <w:sz w:val="20"/>
                <w:szCs w:val="20"/>
              </w:rPr>
              <w:t>CỘNG HÒA XÃ HỘI CHỦ NGHĨA VIỆT NAM</w:t>
            </w:r>
            <w:r w:rsidRPr="0036648E">
              <w:rPr>
                <w:rFonts w:ascii="Arial" w:hAnsi="Arial" w:cs="Arial"/>
                <w:b/>
                <w:bCs/>
                <w:sz w:val="20"/>
                <w:szCs w:val="20"/>
              </w:rPr>
              <w:br/>
              <w:t xml:space="preserve">Độc lập - Tự do - Hạnh phúc </w:t>
            </w:r>
            <w:r w:rsidRPr="0036648E">
              <w:rPr>
                <w:rFonts w:ascii="Arial" w:hAnsi="Arial" w:cs="Arial"/>
                <w:b/>
                <w:bCs/>
                <w:sz w:val="20"/>
                <w:szCs w:val="20"/>
              </w:rPr>
              <w:br/>
            </w:r>
            <w:r w:rsidRPr="007A1E29">
              <w:rPr>
                <w:rFonts w:ascii="Arial" w:hAnsi="Arial" w:cs="Arial"/>
                <w:bCs/>
                <w:sz w:val="20"/>
                <w:szCs w:val="20"/>
                <w:vertAlign w:val="superscript"/>
              </w:rPr>
              <w:t>______________________</w:t>
            </w:r>
          </w:p>
          <w:p w:rsidR="007A1E29" w:rsidRPr="0036648E" w:rsidRDefault="007A1E29" w:rsidP="007A1E29">
            <w:pPr>
              <w:jc w:val="center"/>
              <w:rPr>
                <w:rFonts w:ascii="Arial" w:hAnsi="Arial" w:cs="Arial"/>
                <w:sz w:val="20"/>
                <w:szCs w:val="20"/>
              </w:rPr>
            </w:pPr>
            <w:r w:rsidRPr="0036648E">
              <w:rPr>
                <w:rFonts w:ascii="Arial" w:hAnsi="Arial" w:cs="Arial"/>
                <w:i/>
                <w:iCs/>
                <w:sz w:val="20"/>
                <w:szCs w:val="20"/>
              </w:rPr>
              <w:t>Hà Nội, ngày 09 tháng 01 năm 2025</w:t>
            </w:r>
          </w:p>
        </w:tc>
      </w:tr>
    </w:tbl>
    <w:p w:rsidR="00D948BF" w:rsidRDefault="00FE5653" w:rsidP="007A1E29">
      <w:pPr>
        <w:jc w:val="center"/>
        <w:rPr>
          <w:rFonts w:ascii="Arial" w:hAnsi="Arial" w:cs="Arial"/>
          <w:sz w:val="20"/>
          <w:szCs w:val="20"/>
        </w:rPr>
      </w:pPr>
      <w:r w:rsidRPr="0036648E">
        <w:rPr>
          <w:rFonts w:ascii="Arial" w:hAnsi="Arial" w:cs="Arial"/>
          <w:sz w:val="20"/>
          <w:szCs w:val="20"/>
        </w:rPr>
        <w:t> </w:t>
      </w:r>
    </w:p>
    <w:p w:rsidR="007A1E29" w:rsidRPr="0036648E" w:rsidRDefault="007A1E29" w:rsidP="007A1E29">
      <w:pPr>
        <w:jc w:val="center"/>
        <w:rPr>
          <w:rFonts w:ascii="Arial" w:hAnsi="Arial" w:cs="Arial"/>
          <w:sz w:val="20"/>
          <w:szCs w:val="20"/>
        </w:rPr>
      </w:pPr>
    </w:p>
    <w:p w:rsidR="00D948BF" w:rsidRPr="0036648E" w:rsidRDefault="00FE5653" w:rsidP="007A1E29">
      <w:pPr>
        <w:jc w:val="center"/>
        <w:rPr>
          <w:rFonts w:ascii="Arial" w:hAnsi="Arial" w:cs="Arial"/>
          <w:sz w:val="20"/>
          <w:szCs w:val="20"/>
        </w:rPr>
      </w:pPr>
      <w:bookmarkStart w:id="0" w:name="loai_1"/>
      <w:r w:rsidRPr="0036648E">
        <w:rPr>
          <w:rFonts w:ascii="Arial" w:hAnsi="Arial" w:cs="Arial"/>
          <w:b/>
          <w:bCs/>
          <w:sz w:val="20"/>
          <w:szCs w:val="20"/>
        </w:rPr>
        <w:t>THÔNG TƯ</w:t>
      </w:r>
      <w:bookmarkEnd w:id="0"/>
    </w:p>
    <w:p w:rsidR="007A1E29" w:rsidRDefault="007A1E29" w:rsidP="007A1E29">
      <w:pPr>
        <w:jc w:val="center"/>
        <w:rPr>
          <w:rFonts w:ascii="Arial" w:hAnsi="Arial" w:cs="Arial"/>
          <w:b/>
          <w:sz w:val="20"/>
          <w:szCs w:val="20"/>
        </w:rPr>
      </w:pPr>
      <w:bookmarkStart w:id="1" w:name="loai_1_name"/>
      <w:r w:rsidRPr="007A1E29">
        <w:rPr>
          <w:rFonts w:ascii="Arial" w:hAnsi="Arial" w:cs="Arial"/>
          <w:b/>
          <w:sz w:val="20"/>
          <w:szCs w:val="20"/>
        </w:rPr>
        <w:t xml:space="preserve">Quy định chế độ quản lý, tính hao mòn, trích khấu hao </w:t>
      </w:r>
    </w:p>
    <w:p w:rsidR="00D948BF" w:rsidRDefault="007A1E29" w:rsidP="007A1E29">
      <w:pPr>
        <w:jc w:val="center"/>
        <w:rPr>
          <w:rFonts w:ascii="Arial" w:hAnsi="Arial" w:cs="Arial"/>
          <w:b/>
          <w:sz w:val="20"/>
          <w:szCs w:val="20"/>
        </w:rPr>
      </w:pPr>
      <w:r w:rsidRPr="007A1E29">
        <w:rPr>
          <w:rFonts w:ascii="Arial" w:hAnsi="Arial" w:cs="Arial"/>
          <w:b/>
          <w:sz w:val="20"/>
          <w:szCs w:val="20"/>
        </w:rPr>
        <w:t>tài sản kết cấu hạ tầng chợ</w:t>
      </w:r>
      <w:bookmarkEnd w:id="1"/>
    </w:p>
    <w:p w:rsidR="007A1E29" w:rsidRPr="007A1E29" w:rsidRDefault="007A1E29" w:rsidP="007A1E29">
      <w:pPr>
        <w:jc w:val="center"/>
        <w:rPr>
          <w:rFonts w:ascii="Arial" w:hAnsi="Arial" w:cs="Arial"/>
          <w:sz w:val="20"/>
          <w:szCs w:val="20"/>
          <w:vertAlign w:val="superscript"/>
        </w:rPr>
      </w:pPr>
      <w:r w:rsidRPr="007A1E29">
        <w:rPr>
          <w:rFonts w:ascii="Arial" w:hAnsi="Arial" w:cs="Arial"/>
          <w:sz w:val="20"/>
          <w:szCs w:val="20"/>
          <w:vertAlign w:val="superscript"/>
        </w:rPr>
        <w:t>_______________</w:t>
      </w:r>
    </w:p>
    <w:p w:rsidR="007A1E29" w:rsidRPr="0036648E" w:rsidRDefault="007A1E29" w:rsidP="007A1E29">
      <w:pPr>
        <w:jc w:val="center"/>
        <w:rPr>
          <w:rFonts w:ascii="Arial" w:hAnsi="Arial" w:cs="Arial"/>
          <w:sz w:val="20"/>
          <w:szCs w:val="20"/>
        </w:rPr>
      </w:pP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i/>
          <w:iCs/>
          <w:sz w:val="20"/>
          <w:szCs w:val="20"/>
        </w:rPr>
        <w:t>Căn cứ Luật Quản lý, sử dụng tài sản công ngày 21 tháng 6 năm 2017;</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i/>
          <w:iCs/>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i/>
          <w:iCs/>
          <w:sz w:val="20"/>
          <w:szCs w:val="20"/>
        </w:rPr>
        <w:t>Căn cứ Nghị định số 60/2024/NĐ-CP ngày 05 tháng 6 năm 2024 của Chính phủ quy định về phát triển và quản lý chợ;</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i/>
          <w:iCs/>
          <w:sz w:val="20"/>
          <w:szCs w:val="20"/>
        </w:rPr>
        <w:t>Căn cứ Nghị định số 14/2023/NĐ-CP ngày 20 tháng 4 năm 2023 của Chính phủ quy định về chức năng, nhiệm vụ, quyền hạn và cơ cấu tổ chức của Bộ Tài chính;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i/>
          <w:iCs/>
          <w:sz w:val="20"/>
          <w:szCs w:val="20"/>
        </w:rPr>
        <w:t>Theo đề nghị của Cục trưởng Cục Quản lý công sản;</w:t>
      </w:r>
    </w:p>
    <w:p w:rsidR="00D948BF" w:rsidRDefault="00FE5653" w:rsidP="007A1E29">
      <w:pPr>
        <w:ind w:firstLine="720"/>
        <w:jc w:val="both"/>
        <w:rPr>
          <w:rFonts w:ascii="Arial" w:hAnsi="Arial" w:cs="Arial"/>
          <w:i/>
          <w:iCs/>
          <w:sz w:val="20"/>
          <w:szCs w:val="20"/>
        </w:rPr>
      </w:pPr>
      <w:r w:rsidRPr="0036648E">
        <w:rPr>
          <w:rFonts w:ascii="Arial" w:hAnsi="Arial" w:cs="Arial"/>
          <w:i/>
          <w:iCs/>
          <w:sz w:val="20"/>
          <w:szCs w:val="20"/>
        </w:rPr>
        <w:t>Bộ trưởng Bộ Tài chính ban hành Thông tư quy định chế độ quản lý, tính hao mòn, trích khấu hao tài sản kết cấu hạ tầng chợ.</w:t>
      </w:r>
    </w:p>
    <w:p w:rsidR="007A1E29" w:rsidRPr="0036648E" w:rsidRDefault="007A1E29" w:rsidP="007A1E29">
      <w:pPr>
        <w:ind w:firstLine="720"/>
        <w:jc w:val="both"/>
        <w:rPr>
          <w:rFonts w:ascii="Arial" w:hAnsi="Arial" w:cs="Arial"/>
          <w:sz w:val="20"/>
          <w:szCs w:val="20"/>
        </w:rPr>
      </w:pPr>
    </w:p>
    <w:p w:rsidR="00D948BF" w:rsidRPr="0036648E" w:rsidRDefault="00FE5653" w:rsidP="007A1E29">
      <w:pPr>
        <w:jc w:val="center"/>
        <w:rPr>
          <w:rFonts w:ascii="Arial" w:hAnsi="Arial" w:cs="Arial"/>
          <w:sz w:val="20"/>
          <w:szCs w:val="20"/>
        </w:rPr>
      </w:pPr>
      <w:bookmarkStart w:id="2" w:name="chuong_1"/>
      <w:r w:rsidRPr="0036648E">
        <w:rPr>
          <w:rFonts w:ascii="Arial" w:hAnsi="Arial" w:cs="Arial"/>
          <w:b/>
          <w:bCs/>
          <w:sz w:val="20"/>
          <w:szCs w:val="20"/>
        </w:rPr>
        <w:t>Chương I</w:t>
      </w:r>
      <w:bookmarkEnd w:id="2"/>
    </w:p>
    <w:p w:rsidR="00D948BF" w:rsidRDefault="00FE5653" w:rsidP="007A1E29">
      <w:pPr>
        <w:jc w:val="center"/>
        <w:rPr>
          <w:rFonts w:ascii="Arial" w:hAnsi="Arial" w:cs="Arial"/>
          <w:b/>
          <w:bCs/>
          <w:sz w:val="20"/>
          <w:szCs w:val="20"/>
        </w:rPr>
      </w:pPr>
      <w:bookmarkStart w:id="3" w:name="chuong_1_name"/>
      <w:r w:rsidRPr="0036648E">
        <w:rPr>
          <w:rFonts w:ascii="Arial" w:hAnsi="Arial" w:cs="Arial"/>
          <w:b/>
          <w:bCs/>
          <w:sz w:val="20"/>
          <w:szCs w:val="20"/>
        </w:rPr>
        <w:t>PHẠM VI ĐIỀU CHỈNH, ĐỐI TƯỢNG ÁP DỤNG</w:t>
      </w:r>
      <w:bookmarkEnd w:id="3"/>
    </w:p>
    <w:p w:rsidR="007A1E29" w:rsidRPr="0036648E" w:rsidRDefault="007A1E29" w:rsidP="007A1E29">
      <w:pPr>
        <w:ind w:firstLine="720"/>
        <w:jc w:val="both"/>
        <w:rPr>
          <w:rFonts w:ascii="Arial" w:hAnsi="Arial" w:cs="Arial"/>
          <w:sz w:val="20"/>
          <w:szCs w:val="20"/>
        </w:rPr>
      </w:pPr>
    </w:p>
    <w:p w:rsidR="00D948BF" w:rsidRPr="0036648E" w:rsidRDefault="00FE5653" w:rsidP="0036648E">
      <w:pPr>
        <w:spacing w:after="120"/>
        <w:ind w:firstLine="720"/>
        <w:jc w:val="both"/>
        <w:rPr>
          <w:rFonts w:ascii="Arial" w:hAnsi="Arial" w:cs="Arial"/>
          <w:sz w:val="20"/>
          <w:szCs w:val="20"/>
        </w:rPr>
      </w:pPr>
      <w:bookmarkStart w:id="4" w:name="dieu_1"/>
      <w:r w:rsidRPr="0036648E">
        <w:rPr>
          <w:rFonts w:ascii="Arial" w:hAnsi="Arial" w:cs="Arial"/>
          <w:b/>
          <w:bCs/>
          <w:sz w:val="20"/>
          <w:szCs w:val="20"/>
        </w:rPr>
        <w:t>Điều 1. Phạm vi điều chỉnh</w:t>
      </w:r>
      <w:bookmarkEnd w:id="4"/>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1. Thông tư này quy định chế độ quản lý, tính hao mòn, trích khấu hao đối với tài sản kết cấu hạ tầng chợ là tài sản cố định do Nhà nước đầu tư, quản lý (sau đây gọi là tài sản kết cấu hạ tầng chợ) quy định tại </w:t>
      </w:r>
      <w:bookmarkStart w:id="5" w:name="dc_1"/>
      <w:r w:rsidRPr="0036648E">
        <w:rPr>
          <w:rFonts w:ascii="Arial" w:hAnsi="Arial" w:cs="Arial"/>
          <w:sz w:val="20"/>
          <w:szCs w:val="20"/>
        </w:rPr>
        <w:t>khoản 16 Điều 3 Nghị định số 60/2024/NĐ-CP</w:t>
      </w:r>
      <w:bookmarkEnd w:id="5"/>
      <w:r w:rsidRPr="0036648E">
        <w:rPr>
          <w:rFonts w:ascii="Arial" w:hAnsi="Arial" w:cs="Arial"/>
          <w:sz w:val="20"/>
          <w:szCs w:val="20"/>
        </w:rPr>
        <w:t xml:space="preserve"> ngày 05 tháng 6 năm 2024 của Chính phủ quy định về phát triển và quản lý chợ giao cho cơ quan, đơn vị quản lý theo quy định tại </w:t>
      </w:r>
      <w:bookmarkStart w:id="6" w:name="dc_2"/>
      <w:r w:rsidRPr="0036648E">
        <w:rPr>
          <w:rFonts w:ascii="Arial" w:hAnsi="Arial" w:cs="Arial"/>
          <w:sz w:val="20"/>
          <w:szCs w:val="20"/>
        </w:rPr>
        <w:t>Chương IV Nghị định số 60/2024/NĐ-CP</w:t>
      </w:r>
      <w:bookmarkEnd w:id="6"/>
      <w:r w:rsidRPr="0036648E">
        <w:rPr>
          <w:rFonts w:ascii="Arial" w:hAnsi="Arial" w:cs="Arial"/>
          <w:sz w:val="20"/>
          <w:szCs w:val="20"/>
        </w:rPr>
        <w: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Thông tư này không áp dụng đối với trường hợp tài sản kết cấu hạ tầng chợ giao cho doanh nghiệp quản lý theo hình thức đầu tư vốn nhà nước vào doanh nghiệp.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Đối với tài sản kết cấu hạ tầng chợ không đủ tiêu chuẩn là tài sản cố định theo quy định tại Điều 3 Thông tư này thì thực hiện mở sổ theo dõi tài sản là công cụ dụng cụ theo quy định của pháp luật về chế độ kế toán.</w:t>
      </w:r>
    </w:p>
    <w:p w:rsidR="00D948BF" w:rsidRPr="0036648E" w:rsidRDefault="00FE5653" w:rsidP="0036648E">
      <w:pPr>
        <w:spacing w:after="120"/>
        <w:ind w:firstLine="720"/>
        <w:jc w:val="both"/>
        <w:rPr>
          <w:rFonts w:ascii="Arial" w:hAnsi="Arial" w:cs="Arial"/>
          <w:sz w:val="20"/>
          <w:szCs w:val="20"/>
        </w:rPr>
      </w:pPr>
      <w:bookmarkStart w:id="7" w:name="dieu_2"/>
      <w:r w:rsidRPr="0036648E">
        <w:rPr>
          <w:rFonts w:ascii="Arial" w:hAnsi="Arial" w:cs="Arial"/>
          <w:b/>
          <w:bCs/>
          <w:sz w:val="20"/>
          <w:szCs w:val="20"/>
        </w:rPr>
        <w:t>Điều 2. Đối tượng áp dụng</w:t>
      </w:r>
      <w:bookmarkEnd w:id="7"/>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1. Cơ quan, đơn vị được giao quản lý tài sản kết cấu hạ tầng chợ theo quy định tại </w:t>
      </w:r>
      <w:bookmarkStart w:id="8" w:name="dc_3"/>
      <w:r w:rsidRPr="0036648E">
        <w:rPr>
          <w:rFonts w:ascii="Arial" w:hAnsi="Arial" w:cs="Arial"/>
          <w:sz w:val="20"/>
          <w:szCs w:val="20"/>
        </w:rPr>
        <w:t>Chương IV Nghị định số 60/2024/NĐ-CP</w:t>
      </w:r>
      <w:bookmarkEnd w:id="8"/>
      <w:r w:rsidRPr="0036648E">
        <w:rPr>
          <w:rFonts w:ascii="Arial" w:hAnsi="Arial" w:cs="Arial"/>
          <w:sz w:val="20"/>
          <w:szCs w:val="20"/>
        </w:rPr>
        <w:t xml:space="preserve"> gồm:</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Đơn vị sự nghiệp công lập;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Cơ quan chuyên môn về tài sản kết cấu hạ tầng chợ cấp tỉnh;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Cơ quan chuyên môn về tài sản kết cấu hạ tầng chợ cấp huyện;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d) Ủy ban nhân dân cấp xã.</w:t>
      </w:r>
    </w:p>
    <w:p w:rsidR="00D948BF" w:rsidRDefault="00FE5653" w:rsidP="007A1E29">
      <w:pPr>
        <w:ind w:firstLine="720"/>
        <w:jc w:val="both"/>
        <w:rPr>
          <w:rFonts w:ascii="Arial" w:hAnsi="Arial" w:cs="Arial"/>
          <w:sz w:val="20"/>
          <w:szCs w:val="20"/>
        </w:rPr>
      </w:pPr>
      <w:r w:rsidRPr="0036648E">
        <w:rPr>
          <w:rFonts w:ascii="Arial" w:hAnsi="Arial" w:cs="Arial"/>
          <w:sz w:val="20"/>
          <w:szCs w:val="20"/>
        </w:rPr>
        <w:t>2. Các đối tượng khác liên quan đến quản lý, tính hao mòn, trích khấu hao tài sản kết cấu hạ tầng chợ.</w:t>
      </w:r>
    </w:p>
    <w:p w:rsidR="007A1E29" w:rsidRPr="0036648E" w:rsidRDefault="007A1E29" w:rsidP="007A1E29">
      <w:pPr>
        <w:ind w:firstLine="720"/>
        <w:jc w:val="both"/>
        <w:rPr>
          <w:rFonts w:ascii="Arial" w:hAnsi="Arial" w:cs="Arial"/>
          <w:sz w:val="20"/>
          <w:szCs w:val="20"/>
        </w:rPr>
      </w:pPr>
    </w:p>
    <w:p w:rsidR="00D948BF" w:rsidRPr="0036648E" w:rsidRDefault="00FE5653" w:rsidP="007A1E29">
      <w:pPr>
        <w:jc w:val="center"/>
        <w:rPr>
          <w:rFonts w:ascii="Arial" w:hAnsi="Arial" w:cs="Arial"/>
          <w:sz w:val="20"/>
          <w:szCs w:val="20"/>
        </w:rPr>
      </w:pPr>
      <w:bookmarkStart w:id="9" w:name="chuong_2"/>
      <w:r w:rsidRPr="0036648E">
        <w:rPr>
          <w:rFonts w:ascii="Arial" w:hAnsi="Arial" w:cs="Arial"/>
          <w:b/>
          <w:bCs/>
          <w:sz w:val="20"/>
          <w:szCs w:val="20"/>
        </w:rPr>
        <w:t>Chương II</w:t>
      </w:r>
      <w:bookmarkEnd w:id="9"/>
    </w:p>
    <w:p w:rsidR="007A1E29" w:rsidRDefault="00FE5653" w:rsidP="007A1E29">
      <w:pPr>
        <w:jc w:val="center"/>
        <w:rPr>
          <w:rFonts w:ascii="Arial" w:hAnsi="Arial" w:cs="Arial"/>
          <w:b/>
          <w:bCs/>
          <w:sz w:val="20"/>
          <w:szCs w:val="20"/>
        </w:rPr>
      </w:pPr>
      <w:bookmarkStart w:id="10" w:name="chuong_2_name"/>
      <w:r w:rsidRPr="0036648E">
        <w:rPr>
          <w:rFonts w:ascii="Arial" w:hAnsi="Arial" w:cs="Arial"/>
          <w:b/>
          <w:bCs/>
          <w:sz w:val="20"/>
          <w:szCs w:val="20"/>
        </w:rPr>
        <w:t xml:space="preserve">QUY ĐỊNH CHUNG VỀ QUẢN LÝ TÀI SẢN KẾT CẤU HẠ TẦNG CHỢ </w:t>
      </w:r>
    </w:p>
    <w:p w:rsidR="00D948BF" w:rsidRDefault="00FE5653" w:rsidP="007A1E29">
      <w:pPr>
        <w:jc w:val="center"/>
        <w:rPr>
          <w:rFonts w:ascii="Arial" w:hAnsi="Arial" w:cs="Arial"/>
          <w:b/>
          <w:bCs/>
          <w:sz w:val="20"/>
          <w:szCs w:val="20"/>
        </w:rPr>
      </w:pPr>
      <w:r w:rsidRPr="0036648E">
        <w:rPr>
          <w:rFonts w:ascii="Arial" w:hAnsi="Arial" w:cs="Arial"/>
          <w:b/>
          <w:bCs/>
          <w:sz w:val="20"/>
          <w:szCs w:val="20"/>
        </w:rPr>
        <w:t>LÀ TÀI SẢN CỐ ĐỊNH</w:t>
      </w:r>
      <w:bookmarkEnd w:id="10"/>
    </w:p>
    <w:p w:rsidR="007A1E29" w:rsidRPr="0036648E" w:rsidRDefault="007A1E29" w:rsidP="007A1E29">
      <w:pPr>
        <w:ind w:firstLine="720"/>
        <w:jc w:val="both"/>
        <w:rPr>
          <w:rFonts w:ascii="Arial" w:hAnsi="Arial" w:cs="Arial"/>
          <w:sz w:val="20"/>
          <w:szCs w:val="20"/>
        </w:rPr>
      </w:pPr>
      <w:bookmarkStart w:id="11" w:name="_GoBack"/>
      <w:bookmarkEnd w:id="11"/>
    </w:p>
    <w:p w:rsidR="00D948BF" w:rsidRPr="0036648E" w:rsidRDefault="00FE5653" w:rsidP="0036648E">
      <w:pPr>
        <w:spacing w:after="120"/>
        <w:ind w:firstLine="720"/>
        <w:jc w:val="both"/>
        <w:rPr>
          <w:rFonts w:ascii="Arial" w:hAnsi="Arial" w:cs="Arial"/>
          <w:sz w:val="20"/>
          <w:szCs w:val="20"/>
        </w:rPr>
      </w:pPr>
      <w:bookmarkStart w:id="12" w:name="dieu_3"/>
      <w:r w:rsidRPr="0036648E">
        <w:rPr>
          <w:rFonts w:ascii="Arial" w:hAnsi="Arial" w:cs="Arial"/>
          <w:b/>
          <w:bCs/>
          <w:sz w:val="20"/>
          <w:szCs w:val="20"/>
        </w:rPr>
        <w:lastRenderedPageBreak/>
        <w:t>Điều 3. Tiêu chuẩn xác định tài sản kết cấu hạ tầng chợ là tài sản cố định</w:t>
      </w:r>
      <w:bookmarkEnd w:id="12"/>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Xác định tài sản kết cấu hạ tầng chợ</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Quyền sử dụng đất đối với từng thửa đất hoặc phần diện tích được giao mỗi cơ quan, đơn vị trong từng thửa đất được xác định là một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Đối với tài sản không thuộc phạm vi quy định tại điểm a khoản này được xác định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Tài sản sử dụng độc lập được xác định là một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hệ thống đó được xác định là một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Một hệ thống được giao cho nhiều cơ quan, đơn vị quản lý thì phần tài sản được giao cho từng cơ quan, đơn vị quản lý là một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Tài sản kết cấu hạ tầng chợ quy định tại khoản 1 Điều này (trừ tài sản quy định tại khoản 3 Điều này) được xác định là tài sản cố định khi thỏa mãn đồng thời 02 tiêu chuẩn sau đây: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Có thời gian sử dụng từ 01 (một) năm trở lên.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Có nguyên giá từ 10.000.000 đồng (mười triệu đồng) trở lên.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3. Tài sản kết cấu hạ tầng chợ quy định tại khoản 1 Điều này giao cho đơn vị sự nghiệp công lập tự bảo đảm chi thường xuyên và chi đầu tư, đơn vị sự nghiệp công lập thuộc đối tượng phải kết cấu chi phí khấu hao tài sản cố định vào giá dịch vụ theo quy định của pháp luật </w:t>
      </w:r>
      <w:r w:rsidRPr="0036648E">
        <w:rPr>
          <w:rFonts w:ascii="Arial" w:hAnsi="Arial" w:cs="Arial"/>
          <w:i/>
          <w:iCs/>
          <w:sz w:val="20"/>
          <w:szCs w:val="20"/>
        </w:rPr>
        <w:t xml:space="preserve">quản lý </w:t>
      </w:r>
      <w:r w:rsidRPr="0036648E">
        <w:rPr>
          <w:rFonts w:ascii="Arial" w:hAnsi="Arial" w:cs="Arial"/>
          <w:sz w:val="20"/>
          <w:szCs w:val="20"/>
        </w:rPr>
        <w:t>thỏa mãn đồng thời 02 tiêu chuẩn dưới đây là tài sản cố định: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Có thời gian sử dụng từ 01 (một) năm trở lên;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Đáp ứng tiêu chuẩn về nguyên giá tài sản cố định theo quy định của pháp luật áp dụng cho doanh nghiệp.</w:t>
      </w:r>
    </w:p>
    <w:p w:rsidR="00D948BF" w:rsidRPr="0036648E" w:rsidRDefault="00FE5653" w:rsidP="0036648E">
      <w:pPr>
        <w:spacing w:after="120"/>
        <w:ind w:firstLine="720"/>
        <w:jc w:val="both"/>
        <w:rPr>
          <w:rFonts w:ascii="Arial" w:hAnsi="Arial" w:cs="Arial"/>
          <w:sz w:val="20"/>
          <w:szCs w:val="20"/>
        </w:rPr>
      </w:pPr>
      <w:bookmarkStart w:id="13" w:name="dieu_4"/>
      <w:r w:rsidRPr="0036648E">
        <w:rPr>
          <w:rFonts w:ascii="Arial" w:hAnsi="Arial" w:cs="Arial"/>
          <w:b/>
          <w:bCs/>
          <w:sz w:val="20"/>
          <w:szCs w:val="20"/>
        </w:rPr>
        <w:t>Điều 4. Nguyên tắc quản lý tài sản kết cấu hạ tầng chợ là tài sản cố định</w:t>
      </w:r>
      <w:bookmarkEnd w:id="13"/>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Tài sản kết cấu hạ tầng chợ quy định tại Điều 3 Thông tư này phải được lập hồ sơ tài sản để quản lý chặt chẽ về hiện vật và giá trị theo quy định của pháp luật về quản lý, sử dụng tài sản công và pháp luật có liên quan.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Mỗi một tài sản kết cấu hạ tầng chợ quy định tại Điều 3 Thông tư này là một đối tượng ghi sổ kế toán. Kế toán tài sản kết cấu hạ tầng chợ phải phản ánh, ghi chép đầy đủ thông tin về nguyên giá, giá trị còn lại, hao mòn, khấu hao của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Cơ quan, đơn vị được giao quản lý tài sản kết cấu hạ tầng chợ có trách nhiệm:</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Hạch toán đối với toàn bộ tài sản kết cấu hạ tầng chợ được giao quản lý theo quy định của chế độ kế toán hiện hành;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Thực hiện kiểm kê tài sản định kỳ hằng năm; thực hiện điều chỉnh số liệu kế toán nếu có chênh lệch phát sinh khi thực hiện kiểm kê;</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c) Thực hiện báo cáo kê khai, báo cáo tình hình quản lý, sử dụng tài sản kết cấu hạ tầng chợ theo quy định tại </w:t>
      </w:r>
      <w:bookmarkStart w:id="14" w:name="dc_4"/>
      <w:r w:rsidRPr="0036648E">
        <w:rPr>
          <w:rFonts w:ascii="Arial" w:hAnsi="Arial" w:cs="Arial"/>
          <w:sz w:val="20"/>
          <w:szCs w:val="20"/>
        </w:rPr>
        <w:t>Điều 34 Nghị định số 60/2024/NĐ-CP</w:t>
      </w:r>
      <w:bookmarkEnd w:id="14"/>
      <w:r w:rsidRPr="0036648E">
        <w:rPr>
          <w:rFonts w:ascii="Arial" w:hAnsi="Arial" w:cs="Arial"/>
          <w:sz w:val="20"/>
          <w:szCs w:val="20"/>
        </w:rPr>
        <w:t xml:space="preserve"> và pháp luật có liên quan.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4. Đối với tài sản kết cấu hạ tầng chợ không còn nhu cầu sử dụng nhưng chưa tính đủ hao mòn hoặc chưa khấu hao hết giá trị theo quy định thì cơ quan, đơn vị được giao quản lý tài sản tiếp tục thực hiện quản lý, theo dõi, bảo quản tài sản theo quy định và tính hao mòn, trích khấu hao theo quy định tại Thông tư này cho đến khi được xử lý theo quy định.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5. Đối với tài sản kết cấu hạ tầng chợ đã tính đủ hao mòn hoặc đã khấu hao hết giá trị nhưng vẫn còn sử dụng được thì cơ quan, đơn vị được giao quản lý tài sản tiếp tục thực hiện quản lý, sử dụng, theo dõi, bảo quản tài sản theo quy định và không phải tính hao mòn, trích khấu hao.</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Trường hợp tài sản kết cấu hạ tầng chợ đã tính đủ hao mòn hoặc đã khấu hao hết giá trị nhưng sau đó thuộc trường hợp phải thay đổi nguyên giá theo quy định tại khoản 7 Điều 6 Thông tư này thì phải tính hao mòn, trích khấu hao theo quy định cho thời gian sử dụng còn lại (nếu có) sau khi thay đổi nguyên giá.</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lastRenderedPageBreak/>
        <w:t>6. Trường hợp cho thuê quyền khai thác tài sản kết cấu hạ tầng chợ thì cơ quan, đơn vị được giao quản lý tài sản tiếp tục thực hiện quản lý, theo dõi và tính hao mòn tài sản theo quy định tại Thông tư này trong thời gian cho thuê quyền khai thác.</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7. Trường hợp chuyển nhượng có thời hạn quyền khai thác tài sản kết cấu hạ tầng chợ thì trong thời gian chuyển nhượng quyền khai thác, cơ quan, đơn vị được giao quản lý tài sản (bên chuyển nhượng):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Có trách nhiệm theo dõi, kiểm tra, giám sát việc thực hiện nghĩa vụ của bên nhận chuyển nhượng theo quy định của pháp luật và Hợp đồng chuyển nhượng có thời hạn quyền khai thác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Không thực hiện tính hao mòn, trích khấu hao theo quy định tại Thông tư này nhưng phải tiếp tục theo dõi nguyên giá tài sản đã hạch toán tại thời điểm chuyển nhượng trên sổ kế toán và trình bày trên thuyết minh báo cáo tài chính theo quy định của chế độ kế toán hiện hành;</w:t>
      </w:r>
    </w:p>
    <w:p w:rsidR="00D948BF" w:rsidRDefault="00FE5653" w:rsidP="007A1E29">
      <w:pPr>
        <w:ind w:firstLine="720"/>
        <w:jc w:val="both"/>
        <w:rPr>
          <w:rFonts w:ascii="Arial" w:hAnsi="Arial" w:cs="Arial"/>
          <w:sz w:val="20"/>
          <w:szCs w:val="20"/>
        </w:rPr>
      </w:pPr>
      <w:r w:rsidRPr="0036648E">
        <w:rPr>
          <w:rFonts w:ascii="Arial" w:hAnsi="Arial" w:cs="Arial"/>
          <w:sz w:val="20"/>
          <w:szCs w:val="20"/>
        </w:rPr>
        <w:t>c) Khi hết thời hạn chuyển nhượng có thời hạn quyền khai thác tài sản kết cấu hạ tầng chợ, cơ quan, đơn vị được giao quản lý tài sản tiếp nhận lại tài sản theo Hợp đồng chuyển nhượng có thời hạn quyền khai thác tài sản và quy định của pháp luật, thực hiện xác định lại nguyên giá, giá trị còn lại của tài sản để thực hiện quản lý, sử dụng, tính hao mòn, trích khấu hao theo quy định tại Nghị định số 60/2024/NĐ-CP và Thông tư này.</w:t>
      </w:r>
    </w:p>
    <w:p w:rsidR="007A1E29" w:rsidRPr="0036648E" w:rsidRDefault="007A1E29" w:rsidP="007A1E29">
      <w:pPr>
        <w:ind w:firstLine="720"/>
        <w:jc w:val="both"/>
        <w:rPr>
          <w:rFonts w:ascii="Arial" w:hAnsi="Arial" w:cs="Arial"/>
          <w:sz w:val="20"/>
          <w:szCs w:val="20"/>
        </w:rPr>
      </w:pPr>
    </w:p>
    <w:p w:rsidR="00D948BF" w:rsidRPr="0036648E" w:rsidRDefault="00FE5653" w:rsidP="007A1E29">
      <w:pPr>
        <w:jc w:val="center"/>
        <w:rPr>
          <w:rFonts w:ascii="Arial" w:hAnsi="Arial" w:cs="Arial"/>
          <w:sz w:val="20"/>
          <w:szCs w:val="20"/>
        </w:rPr>
      </w:pPr>
      <w:bookmarkStart w:id="15" w:name="chuong_3"/>
      <w:r w:rsidRPr="0036648E">
        <w:rPr>
          <w:rFonts w:ascii="Arial" w:hAnsi="Arial" w:cs="Arial"/>
          <w:b/>
          <w:bCs/>
          <w:sz w:val="20"/>
          <w:szCs w:val="20"/>
        </w:rPr>
        <w:t>Chương III</w:t>
      </w:r>
      <w:bookmarkEnd w:id="15"/>
    </w:p>
    <w:p w:rsidR="007A1E29" w:rsidRDefault="00FE5653" w:rsidP="007A1E29">
      <w:pPr>
        <w:jc w:val="center"/>
        <w:rPr>
          <w:rFonts w:ascii="Arial" w:hAnsi="Arial" w:cs="Arial"/>
          <w:b/>
          <w:bCs/>
          <w:sz w:val="20"/>
          <w:szCs w:val="20"/>
        </w:rPr>
      </w:pPr>
      <w:bookmarkStart w:id="16" w:name="chuong_3_name"/>
      <w:r w:rsidRPr="0036648E">
        <w:rPr>
          <w:rFonts w:ascii="Arial" w:hAnsi="Arial" w:cs="Arial"/>
          <w:b/>
          <w:bCs/>
          <w:sz w:val="20"/>
          <w:szCs w:val="20"/>
        </w:rPr>
        <w:t xml:space="preserve">TÍNH HAO MÒN, TRÍCH KHẤU HAO TÀI SẢN KẾT CẤU HẠ </w:t>
      </w:r>
    </w:p>
    <w:p w:rsidR="00D948BF" w:rsidRDefault="00FE5653" w:rsidP="007A1E29">
      <w:pPr>
        <w:jc w:val="center"/>
        <w:rPr>
          <w:rFonts w:ascii="Arial" w:hAnsi="Arial" w:cs="Arial"/>
          <w:b/>
          <w:bCs/>
          <w:sz w:val="20"/>
          <w:szCs w:val="20"/>
        </w:rPr>
      </w:pPr>
      <w:r w:rsidRPr="0036648E">
        <w:rPr>
          <w:rFonts w:ascii="Arial" w:hAnsi="Arial" w:cs="Arial"/>
          <w:b/>
          <w:bCs/>
          <w:sz w:val="20"/>
          <w:szCs w:val="20"/>
        </w:rPr>
        <w:t>TẦNG CHỢ LÀ TÀI SẢN CỐ ĐỊNH</w:t>
      </w:r>
      <w:bookmarkEnd w:id="16"/>
    </w:p>
    <w:p w:rsidR="007A1E29" w:rsidRPr="0036648E" w:rsidRDefault="007A1E29" w:rsidP="007A1E29">
      <w:pPr>
        <w:ind w:firstLine="720"/>
        <w:jc w:val="both"/>
        <w:rPr>
          <w:rFonts w:ascii="Arial" w:hAnsi="Arial" w:cs="Arial"/>
          <w:sz w:val="20"/>
          <w:szCs w:val="20"/>
        </w:rPr>
      </w:pPr>
    </w:p>
    <w:p w:rsidR="00D948BF" w:rsidRPr="0036648E" w:rsidRDefault="00FE5653" w:rsidP="0036648E">
      <w:pPr>
        <w:spacing w:after="120"/>
        <w:ind w:firstLine="720"/>
        <w:jc w:val="both"/>
        <w:rPr>
          <w:rFonts w:ascii="Arial" w:hAnsi="Arial" w:cs="Arial"/>
          <w:sz w:val="20"/>
          <w:szCs w:val="20"/>
        </w:rPr>
      </w:pPr>
      <w:bookmarkStart w:id="17" w:name="dieu_5"/>
      <w:r w:rsidRPr="0036648E">
        <w:rPr>
          <w:rFonts w:ascii="Arial" w:hAnsi="Arial" w:cs="Arial"/>
          <w:b/>
          <w:bCs/>
          <w:sz w:val="20"/>
          <w:szCs w:val="20"/>
        </w:rPr>
        <w:t>Điều 5. Xác định nguyên giá tài sản là quyền sử dụng đất</w:t>
      </w:r>
      <w:bookmarkEnd w:id="17"/>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Trường hợp cơ quan, đơn vị được Nhà nước giao đất không thu tiền sử dụng đất, nguyên giá tài sản là quyền sử dụng đất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2"/>
        <w:gridCol w:w="542"/>
        <w:gridCol w:w="1491"/>
        <w:gridCol w:w="603"/>
        <w:gridCol w:w="1674"/>
        <w:gridCol w:w="663"/>
        <w:gridCol w:w="2562"/>
      </w:tblGrid>
      <w:tr w:rsidR="00D948BF" w:rsidRPr="0036648E" w:rsidTr="007A1E29">
        <w:tc>
          <w:tcPr>
            <w:tcW w:w="8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là quyền sử dụng đất (đồng)</w:t>
            </w:r>
          </w:p>
        </w:tc>
        <w:tc>
          <w:tcPr>
            <w:tcW w:w="3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82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Diện tích đất (m</w:t>
            </w:r>
            <w:r w:rsidRPr="0036648E">
              <w:rPr>
                <w:rFonts w:ascii="Arial" w:hAnsi="Arial" w:cs="Arial"/>
                <w:sz w:val="20"/>
                <w:szCs w:val="20"/>
                <w:vertAlign w:val="superscript"/>
              </w:rPr>
              <w:t>2</w:t>
            </w:r>
            <w:r w:rsidRPr="0036648E">
              <w:rPr>
                <w:rFonts w:ascii="Arial" w:hAnsi="Arial" w:cs="Arial"/>
                <w:sz w:val="20"/>
                <w:szCs w:val="20"/>
              </w:rPr>
              <w:t>)</w:t>
            </w:r>
          </w:p>
        </w:tc>
        <w:tc>
          <w:tcPr>
            <w:tcW w:w="3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x</w:t>
            </w:r>
          </w:p>
        </w:tc>
        <w:tc>
          <w:tcPr>
            <w:tcW w:w="9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Giá đất thương mại, dịch vụ theo Bảng giá đất (đồng)</w:t>
            </w:r>
          </w:p>
        </w:tc>
        <w:tc>
          <w:tcPr>
            <w:tcW w:w="36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4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thuế (không bao gồm các khoản thuế được khấu trừ, hoàn lại) và các khoản phí, lệ phí theo quy định của pháp luật về phí và lệ phí</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Trường hợp cơ quan, đơn vị được Nhà nước cho thuê đất và được miễn tiền thuê đất cho cả thời gian thuê, được Nhà nước cho thuê đất trả tiền một lần cho cả thời gian thuê hoặc nhận chuyển nhượng quyền sử dụng đất thuê mà tiền thuê đất trả một lần, tiền nhận chuyển nhượng quyền sử dụng đất có nguồn gốc từ ngân sách nhà nước thì nguyên giá tài sản là quyền sử dụng đất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4"/>
        <w:gridCol w:w="581"/>
        <w:gridCol w:w="639"/>
        <w:gridCol w:w="652"/>
        <w:gridCol w:w="1838"/>
        <w:gridCol w:w="715"/>
        <w:gridCol w:w="717"/>
        <w:gridCol w:w="549"/>
        <w:gridCol w:w="2082"/>
      </w:tblGrid>
      <w:tr w:rsidR="00D948BF" w:rsidRPr="0036648E" w:rsidTr="007A1E29">
        <w:tc>
          <w:tcPr>
            <w:tcW w:w="6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là quyền sử dụng đất (đồng)</w:t>
            </w:r>
          </w:p>
        </w:tc>
        <w:tc>
          <w:tcPr>
            <w:tcW w:w="32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35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Diện tích đất (m</w:t>
            </w:r>
            <w:r w:rsidRPr="0036648E">
              <w:rPr>
                <w:rFonts w:ascii="Arial" w:hAnsi="Arial" w:cs="Arial"/>
                <w:sz w:val="20"/>
                <w:szCs w:val="20"/>
                <w:vertAlign w:val="superscript"/>
              </w:rPr>
              <w:t>2</w:t>
            </w:r>
            <w:r w:rsidRPr="0036648E">
              <w:rPr>
                <w:rFonts w:ascii="Arial" w:hAnsi="Arial" w:cs="Arial"/>
                <w:sz w:val="20"/>
                <w:szCs w:val="20"/>
              </w:rPr>
              <w:t>)</w:t>
            </w:r>
          </w:p>
        </w:tc>
        <w:tc>
          <w:tcPr>
            <w:tcW w:w="36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x</w:t>
            </w:r>
          </w:p>
        </w:tc>
        <w:tc>
          <w:tcPr>
            <w:tcW w:w="101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Giá đất thương mại, dịch vụ theo Bảng giá đất (đồng)</w:t>
            </w:r>
          </w:p>
        </w:tc>
        <w:tc>
          <w:tcPr>
            <w:tcW w:w="39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x</w:t>
            </w:r>
          </w:p>
        </w:tc>
        <w:tc>
          <w:tcPr>
            <w:tcW w:w="39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Thời hạn thuê đất (năm)</w:t>
            </w:r>
          </w:p>
        </w:tc>
        <w:tc>
          <w:tcPr>
            <w:tcW w:w="30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15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thuế (không bao gồm các khoản thuế được khấu trừ, hoàn lại) và các khoản phí, lệ phí theo quy định của pháp luật về phí và lệ phí</w:t>
            </w:r>
          </w:p>
        </w:tc>
      </w:tr>
      <w:tr w:rsidR="00D948BF" w:rsidRPr="0036648E" w:rsidTr="007A1E2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101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70 năm</w:t>
            </w: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left w:val="nil"/>
              <w:bottom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bottom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7A1E29">
            <w:pPr>
              <w:jc w:val="center"/>
              <w:rPr>
                <w:rFonts w:ascii="Arial" w:hAnsi="Arial" w:cs="Arial"/>
                <w:sz w:val="20"/>
                <w:szCs w:val="20"/>
              </w:rPr>
            </w:pP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Tiền thuê đất đã nộp, tiền nhận chuyển nhượng quyền sử dụng đất đã trả được xác định là có nguồn gốc từ ngân sách nhà nước trong các trường hợp quy định tại các </w:t>
      </w:r>
      <w:bookmarkStart w:id="18" w:name="dc_5"/>
      <w:r w:rsidRPr="0036648E">
        <w:rPr>
          <w:rFonts w:ascii="Arial" w:hAnsi="Arial" w:cs="Arial"/>
          <w:sz w:val="20"/>
          <w:szCs w:val="20"/>
        </w:rPr>
        <w:t>điểm a, b và c khoản 3 Điều 42 Nghị định số 151/2017/NĐ-CP</w:t>
      </w:r>
      <w:bookmarkEnd w:id="18"/>
      <w:r w:rsidRPr="0036648E">
        <w:rPr>
          <w:rFonts w:ascii="Arial" w:hAnsi="Arial" w:cs="Arial"/>
          <w:sz w:val="20"/>
          <w:szCs w:val="20"/>
        </w:rPr>
        <w:t xml:space="preserve"> ngày 26 tháng 12 năm 2017 của Chính phủ quy định chi tiết một số điều của Luật Quản lý, sử dụng tài sản công, được sửa đổi tại </w:t>
      </w:r>
      <w:bookmarkStart w:id="19" w:name="dc_6"/>
      <w:r w:rsidRPr="0036648E">
        <w:rPr>
          <w:rFonts w:ascii="Arial" w:hAnsi="Arial" w:cs="Arial"/>
          <w:sz w:val="20"/>
          <w:szCs w:val="20"/>
        </w:rPr>
        <w:t>khoản 38 Điều 1 Nghị định số 114/2024/NĐ-CP</w:t>
      </w:r>
      <w:bookmarkEnd w:id="19"/>
      <w:r w:rsidRPr="0036648E">
        <w:rPr>
          <w:rFonts w:ascii="Arial" w:hAnsi="Arial" w:cs="Arial"/>
          <w:sz w:val="20"/>
          <w:szCs w:val="20"/>
        </w:rPr>
        <w:t xml:space="preserve"> ngày 15 tháng 9 năm 2024 của Chính phủ sửa đổi, bổ sung một số điều của Nghị định số 151/2017/NĐ-CP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Trường hợp cơ quan, đơn vị được Nhà nước cho thuê đất trả tiền thuê đất một lần cho cả thời gian thuê theo quy định của pháp luật về đất đai mà tiền thuê đất đã nộp không có nguồn gốc từ ngân sách nhà nước, đất do cơ quan, đơn vị nhận chuyển nhượng quyền sử dụng đất mà tiền nhận chuyển nhượng quyền sử dụng đất đã trả không có nguồn gốc từ ngân sách nhà nước thì nguyên giá tài sản là quyền sử dụng đất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1"/>
        <w:gridCol w:w="545"/>
        <w:gridCol w:w="1497"/>
        <w:gridCol w:w="605"/>
        <w:gridCol w:w="2652"/>
        <w:gridCol w:w="664"/>
        <w:gridCol w:w="1563"/>
      </w:tblGrid>
      <w:tr w:rsidR="00D948BF" w:rsidRPr="0036648E" w:rsidTr="007A1E29">
        <w:tc>
          <w:tcPr>
            <w:tcW w:w="8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là quyền sử dụng đất (đồng)</w:t>
            </w:r>
          </w:p>
        </w:tc>
        <w:tc>
          <w:tcPr>
            <w:tcW w:w="3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82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 xml:space="preserve">Số tiền thuê đất nộp một lần cho cả thời gian </w:t>
            </w:r>
            <w:r w:rsidRPr="0036648E">
              <w:rPr>
                <w:rFonts w:ascii="Arial" w:hAnsi="Arial" w:cs="Arial"/>
                <w:sz w:val="20"/>
                <w:szCs w:val="20"/>
              </w:rPr>
              <w:lastRenderedPageBreak/>
              <w:t>thuê, tiền nhận chuyển nhượng quyền sử dụng đất đã trả (đồng)</w:t>
            </w:r>
          </w:p>
        </w:tc>
        <w:tc>
          <w:tcPr>
            <w:tcW w:w="33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lastRenderedPageBreak/>
              <w:t>+</w:t>
            </w:r>
          </w:p>
        </w:tc>
        <w:tc>
          <w:tcPr>
            <w:tcW w:w="146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 xml:space="preserve">Chi phí bồi thường, giải phóng mặt bằng đối với trường hợp Nhà nước cho </w:t>
            </w:r>
            <w:r w:rsidRPr="0036648E">
              <w:rPr>
                <w:rFonts w:ascii="Arial" w:hAnsi="Arial" w:cs="Arial"/>
                <w:sz w:val="20"/>
                <w:szCs w:val="20"/>
              </w:rPr>
              <w:lastRenderedPageBreak/>
              <w:t>thuê đất trả tiền thuê đất một lần cho cả thời gian thuê (nếu có và trong trường hợp chi phí bồi thường, giải phóng mặt bằng chưa tính vào vốn đầu tư dự án, chưa tính vào chi phí sản xuất kinh doanh hoặc chưa được cơ quan, người có thẩm quyền cho phép trừ/khấu trừ vào tiền thuê đất phải nộp).</w:t>
            </w:r>
          </w:p>
        </w:tc>
        <w:tc>
          <w:tcPr>
            <w:tcW w:w="36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lastRenderedPageBreak/>
              <w:t>+</w:t>
            </w:r>
          </w:p>
        </w:tc>
        <w:tc>
          <w:tcPr>
            <w:tcW w:w="86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 xml:space="preserve">Các khoản thuế (không bao gồm các khoản thuế </w:t>
            </w:r>
            <w:r w:rsidRPr="0036648E">
              <w:rPr>
                <w:rFonts w:ascii="Arial" w:hAnsi="Arial" w:cs="Arial"/>
                <w:sz w:val="20"/>
                <w:szCs w:val="20"/>
              </w:rPr>
              <w:lastRenderedPageBreak/>
              <w:t>được khấu trừ, hoàn lại) và các khoản phí, lệ phí theo quy định của pháp luật về phí và lệ phí</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lastRenderedPageBreak/>
        <w:t>4. Trường hợp thuê đất trả tiền thuê đất hàng năm thì không phải xác định nguyên giá tài sản là quyền sử dụng đất.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5. Nguyên giá tài sản là quyền sử dụng đất được điều chỉnh trong các trường hợp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Điều chỉnh theo định kỳ 05 năm một lần bắt đầu từ năm 2026.</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Khi diện tích đất sử dụng có thay đổi so với diện tích đất đã được xác định nguyên giá quyền sử dụng đất trong trường hợp: thực hiện kiểm kê đất đai theo quy định của pháp luật; khi có quyết định của cơ quan nhà nước có thẩm quyền thu hồi, giao bổ sung hoặc chuyển nhượng, nhận chuyển nhượng thêm một phần diện tích đất theo quy định của pháp luật; các trường hợp khác làm thay đổi diện tích đất được cơ quan nhà nước có thẩm quyền xác nhận;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Thay đổi hình thức sử dụng đất theo quyết định của cơ quan nhà nước có thẩm quyền;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d) Khi kiểm kê, đánh giá lại giá trị tài sản công theo quyết định của cơ quan, người có thẩm quyền.</w:t>
      </w:r>
    </w:p>
    <w:p w:rsidR="00D948BF" w:rsidRPr="0036648E" w:rsidRDefault="00FE5653" w:rsidP="0036648E">
      <w:pPr>
        <w:spacing w:after="120"/>
        <w:ind w:firstLine="720"/>
        <w:jc w:val="both"/>
        <w:rPr>
          <w:rFonts w:ascii="Arial" w:hAnsi="Arial" w:cs="Arial"/>
          <w:sz w:val="20"/>
          <w:szCs w:val="20"/>
        </w:rPr>
      </w:pPr>
      <w:bookmarkStart w:id="20" w:name="dieu_6"/>
      <w:r w:rsidRPr="0036648E">
        <w:rPr>
          <w:rFonts w:ascii="Arial" w:hAnsi="Arial" w:cs="Arial"/>
          <w:b/>
          <w:bCs/>
          <w:sz w:val="20"/>
          <w:szCs w:val="20"/>
        </w:rPr>
        <w:t>Điều 6. Xác định nguyên giá tài sản kết cấu hạ tầng chợ không phải là quyền sử dụng đất</w:t>
      </w:r>
      <w:bookmarkEnd w:id="20"/>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Nguyên giá của tài sản kết cấu hạ tầng chợ đã đưa vào sử dụng trước ngày Nghị định số 60/2024/NĐ-CP có hiệu lực thi hành (ngày 01 tháng 8 năm 2024) được xác định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Đối với tài sản kết cấu hạ tầng chợ đang được theo dõi, ghi sổ kế toán thì nguyên giá tài sản là nguyên giá đang được theo dõi, ghi sổ kế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Đối với tài sản kết cấu hạ tầng chợ chưa được theo dõi, ghi sổ kế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b1) Trường hợp có hồ sơ xác định giá mua hoặc giá xây dựng của tài sản đó thì sử dụng giá mua, giá xây dựng theo hồ sơ để xác định nguyên giá của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b2) Trường hợp không có hồ sơ theo quy định tại điểm b1 khoản này nhưng trên sổ kế toán của cơ quan, đơn vị được giao quản lý tài sản kết cấu hạ tầng chợ hoặc cơ quan, đơn vị khác được giao quản lý tài sản kết cấu hạ tầng chợ thuộc phạm vi một (01) tỉnh, thành phố trực thuộc trung ương có theo dõi thông tin về nguyên giá của tài sản kết cấu hạ tầng chợ khác có cấp, hạng, quy mô công suất tương đương và có thời gian đưa vào sử trong cùng một năm thì sử dụng nguyên giá của tài sản kết cấu hạ tầng chợ tương đương đó để làm nguyên giá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b3) Trường hợp không có căn cứ để xác định nguyên giá của tài sản kết cấu hạ tầng chợ theo quy định tại điểm b1, điểm b2 khoản này nhưng có căn cứ để xác định thời điểm đưa tài sản vào sử dụng, giá mua mới của tài sản cùng loại hoặc giá xây dựng mới của tài sản có cấp, hạng, quy mô công suất tương đương tại thời điểm đưa vào sử dụng thì nguyên giá tài sản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603"/>
        <w:gridCol w:w="4898"/>
      </w:tblGrid>
      <w:tr w:rsidR="00D948BF" w:rsidRPr="0036648E" w:rsidTr="007A1E29">
        <w:tc>
          <w:tcPr>
            <w:tcW w:w="195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kết cấu hạ tầng chợ</w:t>
            </w:r>
          </w:p>
        </w:tc>
        <w:tc>
          <w:tcPr>
            <w:tcW w:w="3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271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Giá mua mới của tài sản cùng loại hoặc giá xây dựng mới của tài sản có cấp, hạng, quy mô công suất tương đương tại thời điểm đưa tài sản vào sử dụng</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Giá mua mới của tài sản cùng loại được áp dụng đối với tài sản không phải là nhà, công trình xây dựng, vật kiến trúc là giá của tài sản mới cùng loại được bán trên thị trường tại thời điểm đưa tài sản vào sử dụng;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Giá xây dựng mới của tài sản có cấp, hạng, quy mô công suất tương đương được áp dụng đối với tài sản là nhà, công trình xây dựng, vật kiến trúc, bao gồm cả nhà, công trình xây dựng, vật kiến trúc được hình thành thông qua mua sắm được xác định như sau:</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1497"/>
        <w:gridCol w:w="391"/>
        <w:gridCol w:w="2251"/>
        <w:gridCol w:w="601"/>
        <w:gridCol w:w="1041"/>
        <w:gridCol w:w="661"/>
        <w:gridCol w:w="2583"/>
      </w:tblGrid>
      <w:tr w:rsidR="00D948BF" w:rsidRPr="0036648E" w:rsidTr="007A1E29">
        <w:tc>
          <w:tcPr>
            <w:tcW w:w="82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lastRenderedPageBreak/>
              <w:t>Giá xây dựng mới của tài sản</w:t>
            </w:r>
          </w:p>
        </w:tc>
        <w:tc>
          <w:tcPr>
            <w:tcW w:w="21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24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Đơn giá xây dựng mới của tài sản có cấp, hạng, quy mô công suất tương đương do UBND cấp tỉnh ban hành (hoặc theo quy định cụ thể của địa phương nơi có tài sản) áp dụng tại thời điểm đưa tài sản vào sử dụng</w:t>
            </w:r>
          </w:p>
        </w:tc>
        <w:tc>
          <w:tcPr>
            <w:tcW w:w="3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x</w:t>
            </w:r>
          </w:p>
        </w:tc>
        <w:tc>
          <w:tcPr>
            <w:tcW w:w="57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Diện tích xây dựng/số lượng... của tài sản</w:t>
            </w:r>
          </w:p>
        </w:tc>
        <w:tc>
          <w:tcPr>
            <w:tcW w:w="36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4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Giá trị của các kết cấu khác gắn với công trình/ hạng mục công trình (như: trần, sàn…) xác định theo quy định của Bộ quản lý chuyên ngành (hoặc theo quy định cụ thể của địa phương nơi có tài sản) tại thời điểm đưa tài sản vào sử dụng</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b4) Trường hợp không có căn cứ để xác định nguyên giá tài sản kết cấu hạ tầng chợ theo quy định tại các điểm b1, b2 và b3 khoản này thì cơ quan, đơn vị được giao quản lý tài sản kết cấu hạ tầng chợ xác định nguyên giá của tài sản kết cấu hạ tầng chợ theo quy định tại Điều 7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Nguyên giá của tài sản kết cấu hạ tầng chợ hình thành từ mua sắm đưa vào sử dụng kể từ ngày 01 tháng 8 năm 2024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9"/>
        <w:gridCol w:w="388"/>
        <w:gridCol w:w="1000"/>
        <w:gridCol w:w="430"/>
        <w:gridCol w:w="1441"/>
        <w:gridCol w:w="1455"/>
        <w:gridCol w:w="128"/>
        <w:gridCol w:w="1683"/>
        <w:gridCol w:w="372"/>
        <w:gridCol w:w="751"/>
      </w:tblGrid>
      <w:tr w:rsidR="00D948BF" w:rsidRPr="0036648E" w:rsidTr="007A1E29">
        <w:tc>
          <w:tcPr>
            <w:tcW w:w="76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kết cấu hạ tầng chợ do mua sắm</w:t>
            </w:r>
          </w:p>
        </w:tc>
        <w:tc>
          <w:tcPr>
            <w:tcW w:w="21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55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Giá trị ghi trên hóa đơn</w:t>
            </w:r>
          </w:p>
        </w:tc>
        <w:tc>
          <w:tcPr>
            <w:tcW w:w="23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79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chiết khấu thương mại hoặc giảm giá hoặc phạt người bán (nếu có)</w:t>
            </w:r>
          </w:p>
        </w:tc>
        <w:tc>
          <w:tcPr>
            <w:tcW w:w="80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Chi phí vận chuyển, bốc dỡ, chi phí sửa chữa, cải tạo, nâng cấp, chi phí lắp đặt, chạy thử</w:t>
            </w:r>
          </w:p>
        </w:tc>
        <w:tc>
          <w:tcPr>
            <w:tcW w:w="71"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93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thuế (không bao gồm các khoản thuế được khấu trừ, hoàn lại); các khoản phí, lệ phí theo quy định của pháp luật về phí và lệ phí</w:t>
            </w:r>
          </w:p>
        </w:tc>
        <w:tc>
          <w:tcPr>
            <w:tcW w:w="20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41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Chi phí khác (nếu có)</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Chi phí khác (nếu có) là các chi phí hợp lý liên quan trực tiếp đến việc mua sắm tài sản kết cấu hạ tầng chợ mà cơ quan, đơn vị đã chi ra tính đến thời điểm đưa tài sản vào sử dụng. Trường hợp phát sinh chi phí chung cho nhiều tài sản thì thực hiện phân bổ chi phí cho từng tài sản theo tiêu chí cho phù hợp (như: diện tích xây dựng, số lượng, giá trị ghi trên hóa đơn của tài sản kết cấu hạ tầng chợ phát sinh chi phí chung...).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Nguyên giá của tài sản kết cấu hạ tầng chợ hình thành từ đầu tư xây dựng được nghiệm thu, bàn giao đưa tài sản vào sử dụng kể từ ngày 01 tháng 8 năm 2024 là giá trị quyết toán được cơ quan, người có thẩm quyền phê duyệt theo quy định của pháp luật. Một số trường hợp đặc biệt được thực hiện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Trường hợp tài sản kết cấu hạ tầng chợ đã hoàn thành việc đầu tư xây dựng, đưa vào sử dụng nhưng chưa có quyết toán dược cơ quan, người có thẩm quyền phê duyệt thì cơ quan, đơn vị được giao quản lý tài sản kết cấu hạ tầng chợ 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thẩm tra quyết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đề nghị phê duyệt quyết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Bảng tính giá trị quyết toán hợp đồng giữa chủ đầu tư và nhà thầu (quyết toán A-B);</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dự toán được phê duyệt hoặc điều chỉnh lần gần nhất (trong trường hợp dự toán dự án được điều chỉnh);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tổng mức đầu tư được phê duyệt hoặc điều chỉnh lần gần nhất (trong trường hợp tổng mức đầu tư được điều chỉnh).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Khi được cơ quan, người có thẩm quyền phê duyệt quyết toán, cơ quan, đơn vị được giao quản lý tài sản kết cấu hạ tầng chợ thực hiện điều chỉnh lại nguyên giá tạm tính theo giá trị quyết toán được phê duyệt để điều chỉnh sổ kế toán và thực hiện kế toán tài sản theo quy định;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b) Trường hợp dự án bao gồm nhiều hạng mục, tài sản (nhiều đối tượng ghi sổ kế toán tài sản) khác nhau nhưng không dự toán riêng, quyết toán riêng hoặc có dự toán riêng nhưng không quyết toán </w:t>
      </w:r>
      <w:r w:rsidRPr="0036648E">
        <w:rPr>
          <w:rFonts w:ascii="Arial" w:hAnsi="Arial" w:cs="Arial"/>
          <w:sz w:val="20"/>
          <w:szCs w:val="20"/>
        </w:rPr>
        <w:lastRenderedPageBreak/>
        <w:t>riêng cho từng hạng mục, tài sản thì thực hiện phân bổ cho từng hạng mục, tài sản để ghi sổ kế toán theo nguyên tắc chi phí trực tiếp liên quan đến tài sản cố định nào thì tính cho tài sản cố định đó; chi phí chung liên quan đến nhiều tài sản cố định thì phân bổ theo tỷ lệ chi phí trực tiếp của từng tài sản cố định so với tổng số chi phí trực tiếp của toàn bộ tài sản cố định;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d) Trường hợp giá trị quyết toán của dự án phải điều chỉnh theo kiến nghị, kết luận của cơ quan có thẩm quyền sau khi được thanh tra, kiểm toán thì cơ quan, đơn vị được giao quản lý tài sản kết cấu hạ tầng chợ phải thực hiện điều chỉnh lại nguyên giá theo kiến nghị, kết luận của cơ quan có thẩm quyền.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4. Nguyên giá của tài sản kết cấu hạ tầng chợ tiếp nhận từ việc được giao, điều chuyển kể từ ngày Nghị định số 60/2024/NĐ-CP có hiệu lực thi hành (ngày 01 tháng 8 năm 2024)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5"/>
        <w:gridCol w:w="579"/>
        <w:gridCol w:w="1387"/>
        <w:gridCol w:w="652"/>
        <w:gridCol w:w="1854"/>
        <w:gridCol w:w="715"/>
        <w:gridCol w:w="1201"/>
        <w:gridCol w:w="547"/>
        <w:gridCol w:w="827"/>
      </w:tblGrid>
      <w:tr w:rsidR="00D948BF" w:rsidRPr="0036648E" w:rsidTr="007A1E29">
        <w:tc>
          <w:tcPr>
            <w:tcW w:w="70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kết cấu hạ tầng chợ được giao, điều chuyển</w:t>
            </w:r>
          </w:p>
        </w:tc>
        <w:tc>
          <w:tcPr>
            <w:tcW w:w="32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76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ghi trên Biên bản bàn giao, tiếp nhận tài sản</w:t>
            </w:r>
          </w:p>
        </w:tc>
        <w:tc>
          <w:tcPr>
            <w:tcW w:w="36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0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Chi phí vận chuyển, bốc dỡ, chi phí sửa chữa, cải tạo, nâng cấp, chi phí lắp đặt, chạy thử</w:t>
            </w:r>
          </w:p>
        </w:tc>
        <w:tc>
          <w:tcPr>
            <w:tcW w:w="39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66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phí, lệ phí theo quy định của pháp luật về phí và lệ phí</w:t>
            </w:r>
          </w:p>
        </w:tc>
        <w:tc>
          <w:tcPr>
            <w:tcW w:w="30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4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Chi phí khác (nếu có)</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Nguyên giá ghi trên Biên bản bàn giao, tiếp nhận tài sản được xác định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a1) Đối với tài sản đã được theo dõi, ghi sổ kế toán, nguyên giá ghi trên Biên bản bàn giao, tiếp nhận tài sản là nguyên giá tài sản kết cấu hạ tầng chợ đã được cơ quan, đơn vị có tài sản giao, điều chuyển theo dõi, ghi sổ kế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a2) Đối với tài sản chưa được theo dõi, ghi sổ kế toán thì cơ quan, đơn vị có tài sản giao, điều chuyển có trách nhiệm xác định nguyên giá tài sản theo quy định tương ứng tại các khoản 1, 2 và 3 Điều này trước khi trình cơ quan, người có thẩm quyền quyết định giao, điều chuyển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Chi phí khác (nếu có) là các chi phí hợp lý liên quan trực tiếp đến việc tiếp nhận tài sản kết cấu hạ tầng chợ được giao, được điều chuyển mà cơ quan, đơn vị tiếp nhận tài sản kết cấu hạ tầng chợ đã chi ra tính đến thời điểm đưa tài sản vào sử dụng. Trường hợp phát sinh chi phí chung cho nhiều tài sản kết cấu hạ tầng chợ thì cơ quan, đơn vị thực hiện phân bổ chi phí cho từng tài sản theo tiêu chí cho phù hợp (như: diện tích xây dựng, số lượng, giá trị tài sản phát sinh chi phí chung...).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5. Nguyên giá của tài sản kết cấu hạ tầng chợ khi kiểm kê phát hiện thừa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96"/>
        <w:gridCol w:w="553"/>
        <w:gridCol w:w="1517"/>
        <w:gridCol w:w="614"/>
        <w:gridCol w:w="2302"/>
        <w:gridCol w:w="673"/>
        <w:gridCol w:w="1072"/>
      </w:tblGrid>
      <w:tr w:rsidR="00D948BF" w:rsidRPr="0036648E" w:rsidTr="007A1E29">
        <w:tc>
          <w:tcPr>
            <w:tcW w:w="127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tài sản kết cấu hạ tầng chợ khi kiểm kê phát hiện thừa</w:t>
            </w:r>
          </w:p>
        </w:tc>
        <w:tc>
          <w:tcPr>
            <w:tcW w:w="3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84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Nguyên giá ghi trên Biên bản kiểm kê</w:t>
            </w:r>
          </w:p>
        </w:tc>
        <w:tc>
          <w:tcPr>
            <w:tcW w:w="34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127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Các khoản phí, lệ phí theo quy định của pháp luật về phí và lệ phí</w:t>
            </w:r>
          </w:p>
        </w:tc>
        <w:tc>
          <w:tcPr>
            <w:tcW w:w="3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w:t>
            </w:r>
          </w:p>
        </w:tc>
        <w:tc>
          <w:tcPr>
            <w:tcW w:w="5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7A1E29">
            <w:pPr>
              <w:jc w:val="center"/>
              <w:rPr>
                <w:rFonts w:ascii="Arial" w:hAnsi="Arial" w:cs="Arial"/>
                <w:sz w:val="20"/>
                <w:szCs w:val="20"/>
              </w:rPr>
            </w:pPr>
            <w:r w:rsidRPr="0036648E">
              <w:rPr>
                <w:rFonts w:ascii="Arial" w:hAnsi="Arial" w:cs="Arial"/>
                <w:sz w:val="20"/>
                <w:szCs w:val="20"/>
              </w:rPr>
              <w:t>Chi phí khác (nếu có)</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Nguyên giá ghi trên Biên bản kiểm kê được xác định tương ứng tại các khoản 1, 2 và 3 Điều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Chi phí khác (nếu có) là các chi phí hợp lý mà cơ quan, đơn vị đã chi ra trong quá trình kiểm kê (bao gồm cả chi phí lựa chọn thuê doanh nghiệp thẩm định giá để tư vấn xác định giá trị tài sản theo Chuẩn mực thẩm định giá Việt Nam hoặc thành lập Hội đồng xác định giá theo quy định tại Điều 7 Thông tư này làm cơ sở để xác định nguyên giá, giá trị còn lại của tài sản kết cấu hạ tầng chợ để ghi sổ kế toán. Trường hợp phát sinh chi phí chung cho nhiều tài sản thì cơ quan, đơn vị thực hiện phân bổ chi phí cho từng tài sản theo tiêu chí cho phù hợp (như: diện tích xây dựng, số lượng, giá trị tài sản phát sinh chi phí chung...).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6. Đối với tài sản kết cấu hạ tầng chợ cơ quan, đơn vị tiếp nhận lại tài sản sau khi hết thời gian chuyển nhượng có thời hạn quyền khai thác theo quy định tại điểm c khoản 7 Điều 4 Thông tư này thì nguyên giá tài sản kết cấu hạ tầng chợ được xác định lại bằng (=) nguyên giá đã hạch toán tại thời </w:t>
      </w:r>
      <w:r w:rsidRPr="0036648E">
        <w:rPr>
          <w:rFonts w:ascii="Arial" w:hAnsi="Arial" w:cs="Arial"/>
          <w:sz w:val="20"/>
          <w:szCs w:val="20"/>
        </w:rPr>
        <w:lastRenderedPageBreak/>
        <w:t>điểm chuyển nhượng theo Hợp đồng chuyển nhượng có thời hạn quyền khai thác tài sản cộng (+) giá trị đầu tư nâng cấp, mở rộng theo dự án được cơ quan, người có thẩm quyền phê duyệt.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7. Các trường hợp thay đổi nguyên giá tài sản kết cấu hạ tầng chợ:</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Đánh giá lại giá trị tài sản khi thực hiện kiểm kê theo quyết định của Thủ tướng Chính phủ;</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Thực hiện đầu tư nâng cấp, mở rộng tài sản theo dự án được cơ quan, người có thẩm quyền phê duyệt;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Tháo dỡ một hay một số bộ phận tài sản kết cấu hạ tầng chợ (trong trường hợp giá trị bộ phận tài sản tháo dỡ đang được hạch toán chung trong nguyên giá tài sản kết cấu hạ tầng chợ), trừ trường hợp tháo dỡ khi bảo trì công trình;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d) Lắp đặt thêm một hay một số bộ phận tài sản kết cấu hạ tầng chợ, trừ trường hợp việc lắp đặt để thay thế khi bảo trì công trình;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đ) Bị mất một phần tài sản hoặc tài sản bị hư hỏng nghiêm trọng do thiên tai, sự cố bất khả kháng hoặc những tác động đột xuất khác (trừ trường hợp tài sản đã được khôi phục lại thông qua bảo hiểm, bồi thường thiệt hại của tổ chức, cá nhân có liên quan).</w:t>
      </w:r>
    </w:p>
    <w:p w:rsidR="00D948BF" w:rsidRPr="0036648E" w:rsidRDefault="00FE5653" w:rsidP="0036648E">
      <w:pPr>
        <w:spacing w:after="120"/>
        <w:ind w:firstLine="720"/>
        <w:jc w:val="both"/>
        <w:rPr>
          <w:rFonts w:ascii="Arial" w:hAnsi="Arial" w:cs="Arial"/>
          <w:sz w:val="20"/>
          <w:szCs w:val="20"/>
        </w:rPr>
      </w:pPr>
      <w:bookmarkStart w:id="21" w:name="dieu_7"/>
      <w:r w:rsidRPr="0036648E">
        <w:rPr>
          <w:rFonts w:ascii="Arial" w:hAnsi="Arial" w:cs="Arial"/>
          <w:b/>
          <w:bCs/>
          <w:sz w:val="20"/>
          <w:szCs w:val="20"/>
        </w:rPr>
        <w:t>Điều 7. Xác định nguyên giá tài sản kết cấu hạ tầng chợ trong trường hợp quy định tại điểm b4 khoản 1 Điều 6 Thông tư này</w:t>
      </w:r>
      <w:bookmarkEnd w:id="21"/>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để làm cơ sở đánh giá lại giá trị còn lại, thời gian tính hao mòn còn lại của tài sản. Việc sử dụng chứng thư thẩm định giá, báo cáo thẩm định giá được thực hiện theo quy định của pháp luật về giá.</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Căn cứ chứng thư thẩm định giá, báo cáo thẩm định giá do doanh nghiệp thẩm định giá cung cấp/biên bản xác định giá của Hội đồng xác định giá và đặc điểm, tình trạng của tài sản kết cấu hạ tầng chợ, cơ quan, đơn vị có tài sản xác định nguyên giá tài sản kết cấu hạ tầng chợ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7"/>
        <w:gridCol w:w="542"/>
        <w:gridCol w:w="1491"/>
        <w:gridCol w:w="603"/>
        <w:gridCol w:w="4894"/>
      </w:tblGrid>
      <w:tr w:rsidR="00D948BF" w:rsidRPr="0036648E" w:rsidTr="000602E1">
        <w:trPr>
          <w:trHeight w:val="20"/>
        </w:trPr>
        <w:tc>
          <w:tcPr>
            <w:tcW w:w="82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Nguyên giá tài sản kết cấu hạ tầng chợ</w:t>
            </w:r>
          </w:p>
        </w:tc>
        <w:tc>
          <w:tcPr>
            <w:tcW w:w="30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82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Giá trị đánh giá lại của tài sản</w:t>
            </w:r>
          </w:p>
        </w:tc>
        <w:tc>
          <w:tcPr>
            <w:tcW w:w="33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x</w:t>
            </w:r>
          </w:p>
        </w:tc>
        <w:tc>
          <w:tcPr>
            <w:tcW w:w="2712"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Thời gian tính hao mòn của tài sản theo quy định tại Điều 10 Thông tư này (năm)</w:t>
            </w:r>
          </w:p>
        </w:tc>
      </w:tr>
      <w:tr w:rsidR="00D948BF" w:rsidRPr="0036648E" w:rsidTr="000602E1">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nil"/>
              <w:bottom w:val="nil"/>
              <w:right w:val="nil"/>
              <w:tl2br w:val="nil"/>
              <w:tr2bl w:val="nil"/>
            </w:tcBorders>
            <w:shd w:val="clear" w:color="auto" w:fill="auto"/>
            <w:vAlign w:val="center"/>
          </w:tcPr>
          <w:p w:rsidR="00D948BF" w:rsidRPr="0036648E" w:rsidRDefault="00D948BF" w:rsidP="000602E1">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0602E1">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0602E1">
            <w:pPr>
              <w:jc w:val="cente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D948BF" w:rsidRPr="0036648E" w:rsidRDefault="00D948BF" w:rsidP="000602E1">
            <w:pPr>
              <w:jc w:val="center"/>
              <w:rPr>
                <w:rFonts w:ascii="Arial" w:hAnsi="Arial" w:cs="Arial"/>
                <w:sz w:val="20"/>
                <w:szCs w:val="20"/>
              </w:rPr>
            </w:pPr>
          </w:p>
        </w:tc>
        <w:tc>
          <w:tcPr>
            <w:tcW w:w="271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Thời gian tính hao mòn còn lại của tài sản (năm)</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Hội đồng xác định giá do Thủ trưởng cơ quan, đơn vị có tài sản quyết định thành lập. Thành phần Hội đồng xác định giá gôm: Thủ trưởng cơ quan, đơn vị có tài sản hoặc người được ủy quyền làm Chủ tịch; các thành viên khác gồm: đại diện các bộ phận chuyên môn liên quan của cơ quan, đơn vị có tài sản; đại diện các cơ quan khác có liên quan (nếu có).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Hội đồng xác định giá căn cứ phương pháp định giá chung đối với hàng hóa, dịch vụ do Nhà nước định giá để làm cơ sở đánh giá lại giá trị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Nguyên tắc hoạt động của Hội đồng xác định giá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Hội đồng làm việc theo nguyên tắc tập thể. Phiên họp để xác định giá trị tài sản chỉ được tiến hành khi có mặt ít nhất 2/3 số lượng thành viên của Hội đồng trở lên tham dự; trường hợp Hội đồng chỉ có 03 thành viên thì phiên họp phải có mặt đủ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vào Biên bản xác định giá trị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Hội đồng phải lập Biên bản về việc xác định giá trị tài sản, phản ánh đầy đủ và trung thực toàn bộ quá trình xác định giá trị tài sản. Biên bản phải được lưu trong hồ sơ xác định giá trị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Nội dung chính của Biên bản xác định giá trị tài sản gồm: Họ, tên Chủ tịch Hội đồng và các thành viên của Hội đồng; họ, tên những người tham dự phiên họp xác định giá trị tài sản; thời gian, địa điểm tiến hành việc xác định giá trị tài sản; kết quả khảo sát giá trị của tài sản; ý kiến của các thành viên của Hội đồng và những người tham dự phiên họp xác định giá trị tài sản; kết quả biểu quyết của </w:t>
      </w:r>
      <w:r w:rsidRPr="0036648E">
        <w:rPr>
          <w:rFonts w:ascii="Arial" w:hAnsi="Arial" w:cs="Arial"/>
          <w:sz w:val="20"/>
          <w:szCs w:val="20"/>
        </w:rPr>
        <w:lastRenderedPageBreak/>
        <w:t>Hội đồng; thời gian, địa điểm hoàn thành việc xác định giá trị tài sản; chữ ký của các thành viên của Hội đồng.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Hội đồng xác định giá quy định tại khoản này chấm dứt hoạt động sau khi hoàn thành nhiệm vụ quy định tại Quyết định thành lập hội đồng. Các nội dung phát sinh sau khi hội đồng chấm dứt hoạt động sẽ do cơ quan, đơn vị có tài sản xử lý.</w:t>
      </w:r>
    </w:p>
    <w:p w:rsidR="00D948BF" w:rsidRPr="0036648E" w:rsidRDefault="00FE5653" w:rsidP="0036648E">
      <w:pPr>
        <w:spacing w:after="120"/>
        <w:ind w:firstLine="720"/>
        <w:jc w:val="both"/>
        <w:rPr>
          <w:rFonts w:ascii="Arial" w:hAnsi="Arial" w:cs="Arial"/>
          <w:sz w:val="20"/>
          <w:szCs w:val="20"/>
        </w:rPr>
      </w:pPr>
      <w:bookmarkStart w:id="22" w:name="dieu_8"/>
      <w:r w:rsidRPr="0036648E">
        <w:rPr>
          <w:rFonts w:ascii="Arial" w:hAnsi="Arial" w:cs="Arial"/>
          <w:b/>
          <w:bCs/>
          <w:sz w:val="20"/>
          <w:szCs w:val="20"/>
        </w:rPr>
        <w:t>Điều 8. Xác định nguyên giá tài sản kết cấu hạ tầng chợ trong trường hợp thay đổi nguyên giá tài sản</w:t>
      </w:r>
      <w:bookmarkEnd w:id="22"/>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Khi phát sinh việc thay đổi nguyên giá tài sản kết cấu hạ tầng chợ trong các trường hợp quy định tại khoản 5 Điều 5, khoản 7 Điều 6 Thông tư này, cơ quan, đơn vị được giao quản lý tài sản kết cấu hạ tầng chợ thực hiện lập Biên bản ghi rõ lý do (trường hợp) thay đổi nguyên giá; đồng thời xác định lại chỉ tiêu nguyên giá của tài sản kết cấu hạ tầng chợ làm cơ sở xác định mức hao mòn, khấu hao, giá trị còn lại của tài sản để điều chỉnh sổ kế toán và thực hiện việc quản lý, tính hao mòn, trích khấu hao tài sản theo quy định tại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Việc xác định lại nguyên giá tài sản kết cấu hạ tầng chợ đối với các trường hợp thay đổi nguyên giá được thực hiện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Đối với tài sản là quyền sử dụng đất quy định tại khoản 5 Điều 5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Trường hợp điều chỉnh bảng giá đất theo định kỳ quy định tại điểm a khoản 5 Điều 5 Thông tư này và trường hợp điều chỉnh cho phù hợp với tình hình thực tế theo quy định của pháp luật đất đai thì xác định lại nguyên giá tài sản là quyền sử dụng đất theo bảng giá đất các năm điều chỉnh; việc xác định lại nguyên giá tài sản là quyền sử dụng đất thực hiện theo quy định tại Điều 5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Trường hợp diện tích đất có thay đổi so với diện tích đất đã xác định nguyên giá theo quy định tại điểm b khoản 5 Điều 5 Thông tư này thì nguyên giá tài sản là quyền sử dụng đất xác định lại bằng (=) nguyên giá tài sản là quyền sử dụng đất đã hạch toán cộng (+) hoặc trừ (-) giá trị quyền sử dụng đất tăng thêm hoặc giảm đi. Giá trị quyền sử dụng đất tăng thêm hoặc giảm đi xác định theo quy định tại Điều 5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Trường hợp thay đổi hình thức sử dụng đất theo quyết định của cơ quan nhà nước có thẩm quyền quy định tại điểm c khoản 5 Điều 5 Thông tư này thì xác định lại nguyên giá tài sản là quyền sử dụng đất tương ứng với hình thức sử dụng đất mới theo quy định tại Điều 5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xml:space="preserve">d) Trường hợp khi kiểm kê, đánh giá lại giá trị quyền sử dụng đất theo quyết định của cơ quan, người có thẩm quyền quy định tại điểm d khoản 5 Điều 5 Thông tư này thì xác định lại nguyên giá tài sản là quyền sử dụng đất theo </w:t>
      </w:r>
      <w:r w:rsidRPr="000602E1">
        <w:rPr>
          <w:rFonts w:ascii="Arial" w:hAnsi="Arial" w:cs="Arial"/>
          <w:bCs/>
          <w:sz w:val="20"/>
          <w:szCs w:val="20"/>
        </w:rPr>
        <w:t>quyết</w:t>
      </w:r>
      <w:r w:rsidRPr="0036648E">
        <w:rPr>
          <w:rFonts w:ascii="Arial" w:hAnsi="Arial" w:cs="Arial"/>
          <w:sz w:val="20"/>
          <w:szCs w:val="20"/>
        </w:rPr>
        <w:t xml:space="preserve"> định của cơ quan, người có thẩm quyền.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Đối với trường hợp quy định tại điểm a khoản 7 Điều 6 Thông tư này thì nguyên giá tài sản kết cấu hạ tầng chợ được xác định lại theo hướng dẫn của cơ quan, người có thẩm quyền về kiểm kê, đánh giá lại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Đối với trường hợp quy định tại điểm b khoản 7 Điều 6 Thông tư này thì nguyên giá tài sản kết cấu hạ tầng chợ được xác định lại bằng (=) nguyên giá đang hạch toán cộng (+) phần giá trị tăng thêm do đầu tư nâng cấp, mở rộng tài sản kết cấu hạ tầng chợ. Trong đó, phần giá trị tăng thêm do đầu tư nâng cấp, mở rộng tài sản kết cấu hạ tầng chợ là giá trị quyết toán được cơ quan, người có thẩm quyền phê duyệt theo quy định của pháp luật về đầu tư, pháp luật về xây dựng và pháp luật có liên quan; trường hợp chưa có quyết toán được cơ quan, người có thẩm quyền phê duyệt thì cơ quan, đơn vị được giao quản lý tài sản kết cấu hạ tầng chợ thực hiện ghi sổ kế toán đối với phân giá trị tăng thêm do đầu tư nâng cấp, mở rộng tài sản kết cấu hạ tầng chợ kể từ ngày bàn giao đưa vào sử dụng. Phần giá trị tăng thêm trong nguyên giá ghi sổ kế toán là giá trị tạm tính, được lựa chọn theo thứ tự ưu tiên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thẩm tra quyết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đề nghị phê duyệt quyết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Bảng tính giá trị quyết toán hợp đồng giữa chủ đầu tư và nhà thầu (quyết toán A-B);</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dự toán được phê duyệt hoặc điều chỉnh lần gần nhất (trong trường hợp dự toán dự án được điều chỉnh);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Giá trị tổng mức đầu tư được phê duyệt hoặc điều chỉnh lần gần nhất (trong trường hợp tổng mức đầu tư được điều chỉnh).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lastRenderedPageBreak/>
        <w:t>Khi được cơ quan, người có thẩm quyền phê duyệt quyết toán, cơ quan, đơn vị được giao quản lý tài sản kết cấu hạ tầng chợ thực hiện điều chỉnh lại phần giá trị tăng thêm trong nguyên giá trên sổ kế toán theo giá trị quyết toán được phê duyệt để điều chỉnh sổ kế toán và thực hiện kế toán tài sản theo quy định.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Trường hợp dự án được cơ quan, người có thẩm quyền phê duyệt để đầu tư xây dựng, nâng cấp, mở rộng tài sản khác (không thuộc tài sản kết cấu hạ tầng chợ nhưng trong dự án có nội dung đầu tư vào tài sản kết cấu hạ tầng chợ) thì phần giá trị tăng thêm do đầu tư nâng cấp, mở rộng tài sản kết cấu hạ tầng chợ là phần giá trị đầu tư vào tài sản kết cấu hạ tầng chợ trong giá trị quyết toán của dự án được cơ quan, người có thẩm quyền phê duyệt.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4. Đối với trường hợp tháo dỡ một hay một số bộ phận tài sản kết cấu hạ tầng chợ quy định tại điểm c khoản 7 Điều 6 Thông tư này thì nguyên giá tài sản kết cấu hạ tầng chợ được xác định lại bằng (=) nguyên giá đang hạch toán trừ (-) phần giá trị của bộ phận tài sản kết cấu hạ tầng chợ tháo dỡ cộng (+) chi phí hợp lý liên quan trực tiếp đến việc tháo dỡ mà cơ quan, đơn vị được giao quản lý tài sản kết cấu hạ tầng chợ đã chi ra tính đến thời điểm hoàn thành việc tháo dỡ.</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 phần giá trị của bộ phận tài sản kết cấu hạ tầng chợ tháo dỡ được xác định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Trường hợp có hồ sơ xác định giá mua, giá trị quyết toán/giá trị dự toán của bộ phận tài sản kết cấu hạ tầng chợ tháo dỡ thì phần giá trị của bộ phận tài sản tháo dỡ được xác định theo giá mua, giá trị quyết toán/giá trị dự toán của bộ phận tài sản tháo dỡ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Trường hợp không có hồ sơ quy định tại điểm a khoản này nhưng phân bổ được nguyên giá của tài sản kết cấu hạ tầng chợ cho bộ phận tài sản tháo dỡ theo tiêu chí phù hợp (như: diện tích xây dựng, số lượng, giá mua, dự toán...) thì phần giá trị của bộ phận tài sản kết cấu hạ tầng chợ tháo dỡ được xác định theo giá trị phân bổ;</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Trường hợp không có hồ sơ quy định tại điểm a, điểm b khoản này và không phân bổ được nguyên giá của tài sản kết cấu hạ tầng chợ cho bộ phận tài sản tháo dỡ thì xác định phần giá trị của bộ phận tài sản kết cấu hạ tầng chợ tháo dỡ là giá mua mới của bộ phận tài sản kết cấu hạ tầng chợ tháo dỡ trên thị trường tại thời điểm đưa tài sản vào sử dụng.</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Trường hợp không xác định được giá mua mới của bộ phận tài sản kết cấu hạ tầng chợ tháo dỡ trên thị trường tại thời điểm đưa tài sản vào sử dụng thì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theo quy định tại Điều 7 Thông tư này làm cơ sở để xác định phần giá trị của bộ phận tài sản kết cấu hạ tầng chợ tháo dỡ làm căn cứ xác định nguyên giá tài sản sau khi tháo dỡ.</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5. Đối với trường hợp lắp đặt thêm một hay một số bộ phận tài sản kết cấu hạ tầng chợ quy định tại điểm d khoản 7 Điều 6 Thông tư này thì nguyên giá tài sản kết cấu hạ tầng chợ được xác định lại bằng (=) nguyên giá đang hạch toán cộng (+) phần giá trị tăng thêm do lắp đặt thêm một hay một số bộ phận tài sản kết cấu hạ tầng chợ (+) chi phí hợp lý liên quan trực tiếp đến việc lắp đặt mà cơ quan, đơn vị được giao quản lý tài sản kết cấu hạ tầng chợ đã chi ra tính đến thời điểm hoàn thành việc lắp đặt.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 phần giá trị tăng thêm do lắp đặt thêm một hay một số bộ phận tài sản kết cấu hạ tầng chợ là giá trị tương ứng của bộ phận tài sản được lắp đặt thêm được xác định theo các trường hợp tương ứng quy định tại Điều 6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6. Đối với trường hợp quy định tại điểm đ khoản 7 Điều 6 Thông tư này thì cơ quan, đơn vị được giao quản lý tài sản kết cấu hạ tầng chợ lựa chọn thuê doanh nghiệp thẩm định giá để tư vấn xác định giá trị tài sản theo Chuẩn mực thẩm định giá Việt Nam hoặc thành lập Hội đồng xác định giá theo quy định tại Điều 7 Thông tư này làm cơ sở đề đánh giá lại giá trị còn lại, thời gian tính hao mòn còn lại của tài sản.</w:t>
      </w:r>
    </w:p>
    <w:p w:rsidR="00D948BF" w:rsidRPr="0036648E" w:rsidRDefault="00FE5653" w:rsidP="0036648E">
      <w:pPr>
        <w:spacing w:after="120"/>
        <w:ind w:firstLine="720"/>
        <w:jc w:val="both"/>
        <w:rPr>
          <w:rFonts w:ascii="Arial" w:hAnsi="Arial" w:cs="Arial"/>
          <w:sz w:val="20"/>
          <w:szCs w:val="20"/>
        </w:rPr>
      </w:pPr>
      <w:bookmarkStart w:id="23" w:name="dieu_9"/>
      <w:r w:rsidRPr="0036648E">
        <w:rPr>
          <w:rFonts w:ascii="Arial" w:hAnsi="Arial" w:cs="Arial"/>
          <w:b/>
          <w:bCs/>
          <w:sz w:val="20"/>
          <w:szCs w:val="20"/>
        </w:rPr>
        <w:t>Điều 9. Nguyên tắc tính hao mòn, trích khấu hao tài sản kết cấu hạ tầng chợ</w:t>
      </w:r>
      <w:bookmarkEnd w:id="23"/>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Tài sản kết cấu hạ tầng chợ là tài sản cố định được giao cho cơ quan, đơn vị quản lý phải tính hao mòn theo quy định tại Thông tư này, trừ các trường hợp quy định tại khoản 2, khoản 3 Điều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Tài sản kết cấu hạ tầng chợ phải trích khấu hao gồm:</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Tài sản kết cấu hạ tầng chợ giao cho đơn vị sự nghiệp công lập tự bảo đảm chi thường xuyên và chi đầu tư quản lý;</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lastRenderedPageBreak/>
        <w:t>b) Tài sản kết cấu hạ tầng chợ giao cho đơn vị sự nghiệp công lập thuộc đối tượng phải kết cấu chi phí khấu hao tài sản cố định vào giá dịch vụ cho thuê theo quy định của pháp luật.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Căn cứ quy định của pháp luật và tình hình thực tế của từng thời kỳ, trên cơ sở báo cáo của đơn vị được giao tài sản kết cấu hạ tầng chợ, ý kiến của cơ quan tài chính cùng cấp và ý kiến của cơ quan, đơn vị có liên quan (nếu có), cơ quan chuyên môn về tài sản kết cấu hạ tầng chợ cấp tỉnh báo cáo Ủy ban nhân dân cấp tỉnh, cơ quan chuyên môn về tài sản kết cấu hạ tầng cấp huyện báo cáo Ủy ban nhân dân cấp huyện xem xét, quyết định đơn vị sự nghiệp công lập được kết cấu chi phí khấu hao tài sản kết cấu hạ tầng chợ vào giá dịch vụ quy định tại điểm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Cơ quan, đơn vị được giao quản lý tài sản kết cấu hạ tầng chợ không phải tính hao mòn, trích khấu hao đối với các trường hợp sau đây: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Tài sản chưa tính đủ hao mòn, chưa khấu hao hết giá trị nhưng đã bị hư hỏng không thể sửa chữa để sử dụng được;</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Tài sản đã tính đủ hao mòn, khấu hao hết giá trị nhưng vẫn còn sử dụng được;</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Tài sản trong thời gian chuyển nhượng có thời hạn quyền khai thác;</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d) Tài sản là quyền sử dụng đất.</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4. Căn cứ tính hao mòn, trích khấu hao tài sản kết cấu hạ tầng chợ:</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Đối tượng ghi sổ kế toán (Hệ thống tài sản kết cấu hạ tầng chợ/ từng tài sản độc lập);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Thời gian tính hao mòn, trích khấu hao tài sản và tỷ lệ hao mòn, khấu hao, 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b1) Thời gian, tỷ lệ hao mòn và phương pháp tính hao mòn thực hiện theo quy định tại Điều 10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b2) Thời gian, tỷ lệ khấu hao và phương pháp trích khấu hao thực hiện theo quy định của pháp luật về chế độ quản lý, sử dụng và trích khấu hao tài sản cố định áp dụng cho doanh nghiệp;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Trường hợp việc trích khấu hao theo tỷ lệ quy định áp dụng cho doanh nghiệp ảnh hưởng đến hoạt động của đơn vị sự nghiệp công lập thì căn cứ tình hình thực tế của từng thời kỳ, trên cơ sở báo cáo của đơn vị được giao tài sản kết cấu hạ tầng chợ, ý kiến của cơ quan tài chính cùng cấp và ý kiến của cơ quan, đơn vị có liên quan (nếu có), cơ quan chuyên môn về tài sản kết cấu hạ tầng chợ cấp tỉnh báo cáo Ủy ban nhân dân cấp tỉnh, cơ quan chuyên môn về tài sản kết cấu hạ tầng chợ cấp huyện báo cáo Ủy ban nhân dân cấp huyện xem xét, quyết định điều chỉnh tỷ lệ khấu hao tài sản cố định cho phù hợp, đảm bảo chất lượng và giá dịch vụ cho đơn vị cung cấp.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c) Kỳ kế toán theo quy định của chế độ kế toán hiện hành.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5. Việc tính hao mòn, trích khấu hao tài sản kết cấu hạ tầng chợ được thực hiện như sau:</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Việc tính hao mòn thực hiện mỗi năm 01 (một) lần vào tháng 12, trước khi khóa sổ kế toán.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Đối với tài sản mà cơ quan, đơn vị tiếp nhận từ cơ quan, tổ chức, đơn vị, doanh nghiệp khác theo quyết định của cơ quan, người có thẩm quyền trong</w:t>
      </w:r>
      <w:r w:rsidRPr="0036648E">
        <w:rPr>
          <w:rFonts w:ascii="Arial" w:hAnsi="Arial" w:cs="Arial"/>
          <w:b/>
          <w:bCs/>
          <w:sz w:val="20"/>
          <w:szCs w:val="20"/>
        </w:rPr>
        <w:t xml:space="preserve"> </w:t>
      </w:r>
      <w:r w:rsidRPr="0036648E">
        <w:rPr>
          <w:rFonts w:ascii="Arial" w:hAnsi="Arial" w:cs="Arial"/>
          <w:sz w:val="20"/>
          <w:szCs w:val="20"/>
        </w:rPr>
        <w:t>năm thì việc tính hao mòn trong năm đó được thực hiện tại cơ quan, đơn vị tiếp nhận tài sản;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Việc trích khấu hao thực hiện theo tháng. Chi phí khấu hao tài sản được kết cấu vào giá dịch vụ của đơn vị.</w:t>
      </w:r>
    </w:p>
    <w:p w:rsidR="00D948BF" w:rsidRPr="0036648E" w:rsidRDefault="00FE5653" w:rsidP="0036648E">
      <w:pPr>
        <w:spacing w:after="120"/>
        <w:ind w:firstLine="720"/>
        <w:jc w:val="both"/>
        <w:rPr>
          <w:rFonts w:ascii="Arial" w:hAnsi="Arial" w:cs="Arial"/>
          <w:sz w:val="20"/>
          <w:szCs w:val="20"/>
        </w:rPr>
      </w:pPr>
      <w:bookmarkStart w:id="24" w:name="dieu_10"/>
      <w:r w:rsidRPr="0036648E">
        <w:rPr>
          <w:rFonts w:ascii="Arial" w:hAnsi="Arial" w:cs="Arial"/>
          <w:b/>
          <w:bCs/>
          <w:sz w:val="20"/>
          <w:szCs w:val="20"/>
        </w:rPr>
        <w:t>Điều 10. Danh mục tài sản, khung thời gian tính hao mòn và tỷ lệ tính hao mòn</w:t>
      </w:r>
      <w:bookmarkEnd w:id="24"/>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Trường hợp đối tượng ghi sổ kế toán là hệ thống: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3583"/>
        <w:gridCol w:w="2320"/>
        <w:gridCol w:w="2695"/>
      </w:tblGrid>
      <w:tr w:rsidR="00D948BF" w:rsidRPr="0036648E" w:rsidTr="000602E1">
        <w:tc>
          <w:tcPr>
            <w:tcW w:w="22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STT</w:t>
            </w:r>
          </w:p>
        </w:tc>
        <w:tc>
          <w:tcPr>
            <w:tcW w:w="198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Danh mục tài sản</w:t>
            </w:r>
          </w:p>
        </w:tc>
        <w:tc>
          <w:tcPr>
            <w:tcW w:w="128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Khung thời gian tính hao mòn</w:t>
            </w:r>
            <w:r w:rsidRPr="0036648E">
              <w:rPr>
                <w:rFonts w:ascii="Arial" w:hAnsi="Arial" w:cs="Arial"/>
                <w:sz w:val="20"/>
                <w:szCs w:val="20"/>
              </w:rPr>
              <w:t xml:space="preserve"> </w:t>
            </w:r>
            <w:r w:rsidRPr="0036648E">
              <w:rPr>
                <w:rFonts w:ascii="Arial" w:hAnsi="Arial" w:cs="Arial"/>
                <w:sz w:val="20"/>
                <w:szCs w:val="20"/>
              </w:rPr>
              <w:br/>
              <w:t>(năm)</w:t>
            </w:r>
          </w:p>
        </w:tc>
        <w:tc>
          <w:tcPr>
            <w:tcW w:w="1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 xml:space="preserve">Khung tỷ lệ hao mòn </w:t>
            </w:r>
            <w:r w:rsidRPr="0036648E">
              <w:rPr>
                <w:rFonts w:ascii="Arial" w:hAnsi="Arial" w:cs="Arial"/>
                <w:sz w:val="20"/>
                <w:szCs w:val="20"/>
              </w:rPr>
              <w:t>(%/năm)</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19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Hệ thống tài sản kết cấu hạ tầng chợ</w:t>
            </w:r>
          </w:p>
        </w:tc>
        <w:tc>
          <w:tcPr>
            <w:tcW w:w="1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10-50</w:t>
            </w:r>
          </w:p>
        </w:tc>
        <w:tc>
          <w:tcPr>
            <w:tcW w:w="1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2 - 10</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Trường hợp đối tượng ghi sổ kế toán là từng tài sản độc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5303"/>
        <w:gridCol w:w="1728"/>
        <w:gridCol w:w="1567"/>
      </w:tblGrid>
      <w:tr w:rsidR="00D948BF" w:rsidRPr="0036648E" w:rsidTr="000602E1">
        <w:tc>
          <w:tcPr>
            <w:tcW w:w="22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STT</w:t>
            </w:r>
          </w:p>
        </w:tc>
        <w:tc>
          <w:tcPr>
            <w:tcW w:w="29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Danh mục tài sản</w:t>
            </w:r>
          </w:p>
        </w:tc>
        <w:tc>
          <w:tcPr>
            <w:tcW w:w="95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 xml:space="preserve">Khung thời gian tính hao mòn </w:t>
            </w:r>
            <w:r w:rsidRPr="0036648E">
              <w:rPr>
                <w:rFonts w:ascii="Arial" w:hAnsi="Arial" w:cs="Arial"/>
                <w:sz w:val="20"/>
                <w:szCs w:val="20"/>
              </w:rPr>
              <w:t>(năm)</w:t>
            </w:r>
          </w:p>
        </w:tc>
        <w:tc>
          <w:tcPr>
            <w:tcW w:w="8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 xml:space="preserve">Khung tỷ lệ hao mòn </w:t>
            </w:r>
            <w:r w:rsidRPr="0036648E">
              <w:rPr>
                <w:rFonts w:ascii="Arial" w:hAnsi="Arial" w:cs="Arial"/>
                <w:sz w:val="20"/>
                <w:szCs w:val="20"/>
              </w:rPr>
              <w:t>(%/năm)</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lastRenderedPageBreak/>
              <w:t>I</w:t>
            </w: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b/>
                <w:bCs/>
                <w:sz w:val="20"/>
                <w:szCs w:val="20"/>
              </w:rPr>
              <w:t>Nhà, công trình xây dựng (nhà lồng chợ và các công trình có mái che, nhà điều hành của tổ chức quản lý chợ trong phạm vi chợ)</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 Cấp I, cấp II (theo Tiêu chuẩn quốc gia TCVN 9211:2012 về chợ)</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25</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4</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 Cấp III, cấp IV (theo Tiêu chuẩn quốc gia TCVN 9211:2012 về chợ)</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15</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6,67</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II</w:t>
            </w: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b/>
                <w:bCs/>
                <w:sz w:val="20"/>
                <w:szCs w:val="20"/>
              </w:rPr>
              <w:t>Vật kiến trúc</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Khu vệ sinh, kho chứa hàng, bãi để xe, khu thu gom/xử lý rác, phòng bảo vệ, không gian tín ngưỡng, kho lạnh</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III</w:t>
            </w: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b/>
                <w:bCs/>
                <w:sz w:val="20"/>
                <w:szCs w:val="20"/>
              </w:rPr>
              <w:t>Hệ thống kỹ thuật</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công trình giao thông</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10 - 30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3,33 - 10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cấp thoát nước</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10 - 30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3,33 - 10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điện</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thông tin</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camera quan sát</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thông gió và điều hòa không khí</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phòng cháy chữa cháy</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D948BF" w:rsidP="000602E1">
            <w:pPr>
              <w:jc w:val="center"/>
              <w:rPr>
                <w:rFonts w:ascii="Arial" w:hAnsi="Arial" w:cs="Arial"/>
                <w:sz w:val="20"/>
                <w:szCs w:val="20"/>
              </w:rPr>
            </w:pP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sz w:val="20"/>
                <w:szCs w:val="20"/>
              </w:rPr>
              <w:t>Hệ thống thu gom rác thải</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10 - 20</w:t>
            </w:r>
          </w:p>
        </w:tc>
      </w:tr>
      <w:tr w:rsidR="00D948BF" w:rsidRPr="0036648E" w:rsidTr="000602E1">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IV</w:t>
            </w:r>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rPr>
                <w:rFonts w:ascii="Arial" w:hAnsi="Arial" w:cs="Arial"/>
                <w:sz w:val="20"/>
                <w:szCs w:val="20"/>
              </w:rPr>
            </w:pPr>
            <w:r w:rsidRPr="0036648E">
              <w:rPr>
                <w:rFonts w:ascii="Arial" w:hAnsi="Arial" w:cs="Arial"/>
                <w:b/>
                <w:bCs/>
                <w:sz w:val="20"/>
                <w:szCs w:val="20"/>
              </w:rPr>
              <w:t>Các công trình khác trong phạm vi chợ</w:t>
            </w:r>
          </w:p>
        </w:tc>
        <w:tc>
          <w:tcPr>
            <w:tcW w:w="9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5 - 10</w:t>
            </w:r>
          </w:p>
        </w:tc>
        <w:tc>
          <w:tcPr>
            <w:tcW w:w="8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10 - 20</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Căn cứ vào quy mô công trình, đặc điểm kỹ thuật, tình hình kinh tế, xã hội của từng địa phương; căn cứ vào khung thời gian tính hao mòn quy định tại khoản 1, khoản 2 Điều này; trên cơ sở đề nghị của cơ quan, đơn vị được giao quản lý tài sản kết cấu hạ tầng chợ và cơ quan quản lý cấp trên của cơ quan, đơn vị được giao quản lý tài sản kết cấu hạ tầng chợ (nếu có), cơ quan chuyên môn về tài sản kết cấu hạ tầng chợ cấp tỉnh báo cáo Ủy ban nhân dân cấp tỉnh, cơ quan chuyên môn về tài sản kết cấu hạ tầng cấp huyện báo cáo Ủy ban nhân dân cấp huyện xem xét, quyết định hoặc phân cấp thẩm quyền quyết định thời gian tính hao mòn và tỷ lệ hao mòn cụ thể đối với trường hợp đối tượng ghi sổ kế toán là hệ thống (theo quy định tại khoản 1 Điều này) hoặc đối tượng ghi sổ kế toán là từng tài sản độc lập (theo quy định tại khoản 2 Điều này).</w:t>
      </w:r>
    </w:p>
    <w:p w:rsidR="00D948BF" w:rsidRPr="0036648E" w:rsidRDefault="00FE5653" w:rsidP="0036648E">
      <w:pPr>
        <w:spacing w:after="120"/>
        <w:ind w:firstLine="720"/>
        <w:jc w:val="both"/>
        <w:rPr>
          <w:rFonts w:ascii="Arial" w:hAnsi="Arial" w:cs="Arial"/>
          <w:sz w:val="20"/>
          <w:szCs w:val="20"/>
        </w:rPr>
      </w:pPr>
      <w:bookmarkStart w:id="25" w:name="dieu_11"/>
      <w:r w:rsidRPr="0036648E">
        <w:rPr>
          <w:rFonts w:ascii="Arial" w:hAnsi="Arial" w:cs="Arial"/>
          <w:b/>
          <w:bCs/>
          <w:sz w:val="20"/>
          <w:szCs w:val="20"/>
        </w:rPr>
        <w:t>Điều 11. Phương pháp tính hao mòn, khấu hao</w:t>
      </w:r>
      <w:bookmarkEnd w:id="25"/>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Phương pháp tính hao mòn:</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Mức hao mòn hàng năm của tài sản kết cấu hạ tầng chợ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710"/>
        <w:gridCol w:w="2899"/>
        <w:gridCol w:w="787"/>
        <w:gridCol w:w="1509"/>
      </w:tblGrid>
      <w:tr w:rsidR="00D948BF" w:rsidRPr="0036648E" w:rsidTr="000602E1">
        <w:tc>
          <w:tcPr>
            <w:tcW w:w="172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Mức hao mòn hàng năm của tài sản kết cấu hạ tầng chợ</w:t>
            </w:r>
          </w:p>
        </w:tc>
        <w:tc>
          <w:tcPr>
            <w:tcW w:w="39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6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Nguyên giá của tài sản kết cấu hạ tầng chợ</w:t>
            </w:r>
          </w:p>
        </w:tc>
        <w:tc>
          <w:tcPr>
            <w:tcW w:w="4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x</w:t>
            </w:r>
          </w:p>
        </w:tc>
        <w:tc>
          <w:tcPr>
            <w:tcW w:w="8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Tỷ lệ hao mòn (%/năm)</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Trong đó:</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Nguyên giá của tài sản kết cấu hạ tầng chợ được xác định theo quy định tại các Điều 6, 7 và 8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Tỷ lệ hao mòn được xác định theo quy định tại Điều 10 Thông tư này.</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Phương pháp trích khấu hao tài sản kết cấu hạ tầng chợ được thực hiện theo quy định của pháp luật về chế độ quản lý, sử dụng và trích khấu hao tài sản cố định áp dụng cho doanh nghiệp.</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Số hao mòn lũy kế, số khấu hao đã trích:</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Số hao mòn lũy kế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9"/>
        <w:gridCol w:w="576"/>
        <w:gridCol w:w="1962"/>
        <w:gridCol w:w="639"/>
        <w:gridCol w:w="1777"/>
        <w:gridCol w:w="702"/>
        <w:gridCol w:w="1782"/>
      </w:tblGrid>
      <w:tr w:rsidR="00D948BF" w:rsidRPr="0036648E" w:rsidTr="000602E1">
        <w:tc>
          <w:tcPr>
            <w:tcW w:w="88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lũy kế đến năm (n)</w:t>
            </w:r>
          </w:p>
        </w:tc>
        <w:tc>
          <w:tcPr>
            <w:tcW w:w="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0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lũy kế đến năm (n-1)</w:t>
            </w:r>
          </w:p>
        </w:tc>
        <w:tc>
          <w:tcPr>
            <w:tcW w:w="3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9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tài sản tăng trong năm (n)</w:t>
            </w:r>
          </w:p>
        </w:tc>
        <w:tc>
          <w:tcPr>
            <w:tcW w:w="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9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tài sản giảm trong năm (n)</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Số khấu hao đã trích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9"/>
        <w:gridCol w:w="576"/>
        <w:gridCol w:w="1962"/>
        <w:gridCol w:w="639"/>
        <w:gridCol w:w="1777"/>
        <w:gridCol w:w="702"/>
        <w:gridCol w:w="1782"/>
      </w:tblGrid>
      <w:tr w:rsidR="00D948BF" w:rsidRPr="0036648E" w:rsidTr="000602E1">
        <w:tc>
          <w:tcPr>
            <w:tcW w:w="88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khấu hao đã trích đến kỳ kế toán (t)</w:t>
            </w:r>
          </w:p>
        </w:tc>
        <w:tc>
          <w:tcPr>
            <w:tcW w:w="3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08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khấu hao đã trích đến kỳ kế toán (t-1)</w:t>
            </w:r>
          </w:p>
        </w:tc>
        <w:tc>
          <w:tcPr>
            <w:tcW w:w="3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9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khấu hao tài sản tăng trong kỳ kế toán (t)</w:t>
            </w:r>
          </w:p>
        </w:tc>
        <w:tc>
          <w:tcPr>
            <w:tcW w:w="3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98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khấu hao tài sản giảm trong kỳ kế toán (t)</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3. Mức hao mòn, trích khấu hao cho năm cuối cùng/kỳ kế toán cuối cùng của thời gian sử dụng tài sản kết cấu hạ tầng chợ:</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a) Mức hao mòn tính cho năm cuối cùng của thời gian sử dụng tài sản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3"/>
        <w:gridCol w:w="812"/>
        <w:gridCol w:w="1910"/>
        <w:gridCol w:w="899"/>
        <w:gridCol w:w="3253"/>
      </w:tblGrid>
      <w:tr w:rsidR="00D948BF" w:rsidRPr="0036648E" w:rsidTr="000602E1">
        <w:tc>
          <w:tcPr>
            <w:tcW w:w="119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lastRenderedPageBreak/>
              <w:t>Mức hao mòn tính cho năm cuối cùng</w:t>
            </w:r>
          </w:p>
        </w:tc>
        <w:tc>
          <w:tcPr>
            <w:tcW w:w="4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0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Nguyên giá của tài sản</w:t>
            </w:r>
          </w:p>
        </w:tc>
        <w:tc>
          <w:tcPr>
            <w:tcW w:w="49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8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lũy kế đến trước năm cuối cùng xác định theo quy định tại điểm a khoản 2 Điều này</w:t>
            </w:r>
          </w:p>
        </w:tc>
      </w:tr>
    </w:tbl>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b) Mức trích khấu hao cho kỳ kế toán cuối cùng của thời gian sử dụng tài sản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4"/>
        <w:gridCol w:w="812"/>
        <w:gridCol w:w="1910"/>
        <w:gridCol w:w="899"/>
        <w:gridCol w:w="3252"/>
      </w:tblGrid>
      <w:tr w:rsidR="00D948BF" w:rsidRPr="0036648E">
        <w:tc>
          <w:tcPr>
            <w:tcW w:w="119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Mức trích khấu hao cho kỳ kế toán cuối cùng</w:t>
            </w:r>
          </w:p>
        </w:tc>
        <w:tc>
          <w:tcPr>
            <w:tcW w:w="4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0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Nguyên giá của tài sản</w:t>
            </w:r>
          </w:p>
        </w:tc>
        <w:tc>
          <w:tcPr>
            <w:tcW w:w="49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8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khấu hao đã trích tính đến trước kỳ kế toán cuối cùng xác định theo quy định tại điểm b khoản 2 Điều này</w:t>
            </w:r>
          </w:p>
        </w:tc>
      </w:tr>
    </w:tbl>
    <w:p w:rsidR="00D948BF" w:rsidRPr="0036648E" w:rsidRDefault="00FE5653" w:rsidP="0036648E">
      <w:pPr>
        <w:spacing w:after="120"/>
        <w:ind w:firstLine="720"/>
        <w:jc w:val="both"/>
        <w:rPr>
          <w:rFonts w:ascii="Arial" w:hAnsi="Arial" w:cs="Arial"/>
          <w:sz w:val="20"/>
          <w:szCs w:val="20"/>
        </w:rPr>
      </w:pPr>
      <w:bookmarkStart w:id="26" w:name="dieu_12"/>
      <w:r w:rsidRPr="0036648E">
        <w:rPr>
          <w:rFonts w:ascii="Arial" w:hAnsi="Arial" w:cs="Arial"/>
          <w:b/>
          <w:bCs/>
          <w:sz w:val="20"/>
          <w:szCs w:val="20"/>
        </w:rPr>
        <w:t>Điều 12. Giá trị còn lại của tài sản kết cấu hạ tầng chợ</w:t>
      </w:r>
      <w:bookmarkEnd w:id="26"/>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Giá trị còn lại của tài sản kết cấu hạ tầng chợ để ghi sổ kế toán được tính theo 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53"/>
        <w:gridCol w:w="812"/>
        <w:gridCol w:w="1910"/>
        <w:gridCol w:w="899"/>
        <w:gridCol w:w="3253"/>
      </w:tblGrid>
      <w:tr w:rsidR="00D948BF" w:rsidRPr="0036648E">
        <w:tc>
          <w:tcPr>
            <w:tcW w:w="119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Giá trị còn lại của tài sản kết cấu hạ tầng chợ tính đến ngày 31 tháng 12 năm (n)</w:t>
            </w:r>
          </w:p>
        </w:tc>
        <w:tc>
          <w:tcPr>
            <w:tcW w:w="45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0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Nguyên giá của tài sản</w:t>
            </w:r>
          </w:p>
        </w:tc>
        <w:tc>
          <w:tcPr>
            <w:tcW w:w="49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w:t>
            </w:r>
          </w:p>
        </w:tc>
        <w:tc>
          <w:tcPr>
            <w:tcW w:w="180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D948BF" w:rsidRPr="0036648E" w:rsidRDefault="00FE5653" w:rsidP="000602E1">
            <w:pPr>
              <w:jc w:val="center"/>
              <w:rPr>
                <w:rFonts w:ascii="Arial" w:hAnsi="Arial" w:cs="Arial"/>
                <w:sz w:val="20"/>
                <w:szCs w:val="20"/>
              </w:rPr>
            </w:pPr>
            <w:r w:rsidRPr="0036648E">
              <w:rPr>
                <w:rFonts w:ascii="Arial" w:hAnsi="Arial" w:cs="Arial"/>
                <w:sz w:val="20"/>
                <w:szCs w:val="20"/>
              </w:rPr>
              <w:t>Số hao mòn lũy kế, khấu hao đã trích đến ngày 31 tháng 12 năm (n)</w:t>
            </w:r>
          </w:p>
        </w:tc>
      </w:tr>
    </w:tbl>
    <w:p w:rsidR="00D948BF" w:rsidRDefault="00FE5653" w:rsidP="000602E1">
      <w:pPr>
        <w:ind w:firstLine="720"/>
        <w:jc w:val="both"/>
        <w:rPr>
          <w:rFonts w:ascii="Arial" w:hAnsi="Arial" w:cs="Arial"/>
          <w:sz w:val="20"/>
          <w:szCs w:val="20"/>
        </w:rPr>
      </w:pPr>
      <w:r w:rsidRPr="0036648E">
        <w:rPr>
          <w:rFonts w:ascii="Arial" w:hAnsi="Arial" w:cs="Arial"/>
          <w:sz w:val="20"/>
          <w:szCs w:val="20"/>
        </w:rPr>
        <w:t>2. Đối với tài sản cố định được đánh giá lại giá trị tài sản theo quy định tại Thông tư này thì giá trị đánh giá lại là giá trị còn lại của tài sản.</w:t>
      </w:r>
    </w:p>
    <w:p w:rsidR="000602E1" w:rsidRPr="0036648E" w:rsidRDefault="000602E1" w:rsidP="000602E1">
      <w:pPr>
        <w:ind w:firstLine="720"/>
        <w:jc w:val="both"/>
        <w:rPr>
          <w:rFonts w:ascii="Arial" w:hAnsi="Arial" w:cs="Arial"/>
          <w:sz w:val="20"/>
          <w:szCs w:val="20"/>
        </w:rPr>
      </w:pPr>
    </w:p>
    <w:p w:rsidR="00D948BF" w:rsidRPr="0036648E" w:rsidRDefault="00FE5653" w:rsidP="000602E1">
      <w:pPr>
        <w:jc w:val="center"/>
        <w:rPr>
          <w:rFonts w:ascii="Arial" w:hAnsi="Arial" w:cs="Arial"/>
          <w:sz w:val="20"/>
          <w:szCs w:val="20"/>
        </w:rPr>
      </w:pPr>
      <w:bookmarkStart w:id="27" w:name="chuong_4"/>
      <w:r w:rsidRPr="0036648E">
        <w:rPr>
          <w:rFonts w:ascii="Arial" w:hAnsi="Arial" w:cs="Arial"/>
          <w:b/>
          <w:bCs/>
          <w:sz w:val="20"/>
          <w:szCs w:val="20"/>
        </w:rPr>
        <w:t>Chương IV</w:t>
      </w:r>
      <w:bookmarkEnd w:id="27"/>
    </w:p>
    <w:p w:rsidR="00D948BF" w:rsidRDefault="00FE5653" w:rsidP="000602E1">
      <w:pPr>
        <w:jc w:val="center"/>
        <w:rPr>
          <w:rFonts w:ascii="Arial" w:hAnsi="Arial" w:cs="Arial"/>
          <w:b/>
          <w:bCs/>
          <w:sz w:val="20"/>
          <w:szCs w:val="20"/>
        </w:rPr>
      </w:pPr>
      <w:bookmarkStart w:id="28" w:name="chuong_4_name"/>
      <w:r w:rsidRPr="0036648E">
        <w:rPr>
          <w:rFonts w:ascii="Arial" w:hAnsi="Arial" w:cs="Arial"/>
          <w:b/>
          <w:bCs/>
          <w:sz w:val="20"/>
          <w:szCs w:val="20"/>
        </w:rPr>
        <w:t>TỔ CHỨC THỰC HIỆN</w:t>
      </w:r>
      <w:bookmarkEnd w:id="28"/>
    </w:p>
    <w:p w:rsidR="000602E1" w:rsidRPr="0036648E" w:rsidRDefault="000602E1" w:rsidP="000602E1">
      <w:pPr>
        <w:ind w:firstLine="720"/>
        <w:jc w:val="both"/>
        <w:rPr>
          <w:rFonts w:ascii="Arial" w:hAnsi="Arial" w:cs="Arial"/>
          <w:sz w:val="20"/>
          <w:szCs w:val="20"/>
        </w:rPr>
      </w:pPr>
    </w:p>
    <w:p w:rsidR="00D948BF" w:rsidRPr="0036648E" w:rsidRDefault="00FE5653" w:rsidP="0036648E">
      <w:pPr>
        <w:spacing w:after="120"/>
        <w:ind w:firstLine="720"/>
        <w:jc w:val="both"/>
        <w:rPr>
          <w:rFonts w:ascii="Arial" w:hAnsi="Arial" w:cs="Arial"/>
          <w:sz w:val="20"/>
          <w:szCs w:val="20"/>
        </w:rPr>
      </w:pPr>
      <w:bookmarkStart w:id="29" w:name="dieu_13"/>
      <w:r w:rsidRPr="0036648E">
        <w:rPr>
          <w:rFonts w:ascii="Arial" w:hAnsi="Arial" w:cs="Arial"/>
          <w:b/>
          <w:bCs/>
          <w:sz w:val="20"/>
          <w:szCs w:val="20"/>
        </w:rPr>
        <w:t>Điều 13. Hiệu lực thi hành</w:t>
      </w:r>
      <w:bookmarkEnd w:id="29"/>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1. Thông tư này có hiệu lực thi hành kể từ ngày 01 tháng 3 năm 2025 và được áp dụng từ năm tài chính 2025.</w:t>
      </w:r>
    </w:p>
    <w:p w:rsidR="00D948BF"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2. Trường hợp các văn bản quy phạm pháp luật trích dẫn tại Thông tư này được sửa đổi, bổ sung hoặc thay thế bằng văn bản quy phạm pháp luật khác thì thực hiện theo quy định tại văn bản sửa đổi, bổ sung hoặc thay thế đó.</w:t>
      </w:r>
    </w:p>
    <w:p w:rsidR="00D948BF" w:rsidRPr="0036648E" w:rsidRDefault="00FE5653" w:rsidP="000602E1">
      <w:pPr>
        <w:ind w:firstLine="720"/>
        <w:jc w:val="both"/>
        <w:rPr>
          <w:rFonts w:ascii="Arial" w:hAnsi="Arial" w:cs="Arial"/>
          <w:sz w:val="20"/>
          <w:szCs w:val="20"/>
        </w:rPr>
      </w:pPr>
      <w:r w:rsidRPr="0036648E">
        <w:rPr>
          <w:rFonts w:ascii="Arial" w:hAnsi="Arial" w:cs="Arial"/>
          <w:sz w:val="20"/>
          <w:szCs w:val="20"/>
        </w:rPr>
        <w:t>3. Chủ tịch Ủy ban nhân dân các tỉnh, thành phố trực thuộc trung ương, Thủ trưởng các cơ quan, tổ chức, đơn vị có liên quan có trách nhiệm chỉ đạo, tổ chức thực hiện việc quản lý, tính hao mòn, trích khấu hao tài sản kết cấu hạ tầng chợ theo quy định tại Thông tư này và các văn bản có liên quan./.</w:t>
      </w:r>
    </w:p>
    <w:p w:rsidR="00D948BF" w:rsidRPr="0036648E" w:rsidRDefault="00FE5653" w:rsidP="000602E1">
      <w:pPr>
        <w:ind w:firstLine="720"/>
        <w:jc w:val="both"/>
        <w:rPr>
          <w:rFonts w:ascii="Arial" w:hAnsi="Arial" w:cs="Arial"/>
          <w:sz w:val="20"/>
          <w:szCs w:val="20"/>
        </w:rPr>
      </w:pPr>
      <w:r w:rsidRPr="0036648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1"/>
        <w:gridCol w:w="4066"/>
      </w:tblGrid>
      <w:tr w:rsidR="00D948BF" w:rsidRPr="0036648E" w:rsidTr="000602E1">
        <w:tc>
          <w:tcPr>
            <w:tcW w:w="2748" w:type="pct"/>
            <w:tcBorders>
              <w:top w:val="nil"/>
              <w:left w:val="nil"/>
              <w:bottom w:val="nil"/>
              <w:right w:val="nil"/>
              <w:tl2br w:val="nil"/>
              <w:tr2bl w:val="nil"/>
            </w:tcBorders>
            <w:shd w:val="clear" w:color="auto" w:fill="auto"/>
            <w:tcMar>
              <w:top w:w="0" w:type="dxa"/>
              <w:left w:w="108" w:type="dxa"/>
              <w:bottom w:w="0" w:type="dxa"/>
              <w:right w:w="108" w:type="dxa"/>
            </w:tcMar>
          </w:tcPr>
          <w:p w:rsidR="00D948BF" w:rsidRPr="0036648E" w:rsidRDefault="00FE5653" w:rsidP="000602E1">
            <w:pPr>
              <w:rPr>
                <w:rFonts w:ascii="Arial" w:hAnsi="Arial" w:cs="Arial"/>
                <w:sz w:val="20"/>
                <w:szCs w:val="20"/>
              </w:rPr>
            </w:pPr>
            <w:r w:rsidRPr="0036648E">
              <w:rPr>
                <w:rFonts w:ascii="Arial" w:hAnsi="Arial" w:cs="Arial"/>
                <w:b/>
                <w:bCs/>
                <w:i/>
                <w:iCs/>
                <w:sz w:val="20"/>
                <w:szCs w:val="20"/>
              </w:rPr>
              <w:t>Nơi nhận:</w:t>
            </w:r>
            <w:r w:rsidRPr="0036648E">
              <w:rPr>
                <w:rFonts w:ascii="Arial" w:hAnsi="Arial" w:cs="Arial"/>
                <w:b/>
                <w:bCs/>
                <w:i/>
                <w:iCs/>
                <w:sz w:val="20"/>
                <w:szCs w:val="20"/>
              </w:rPr>
              <w:br/>
            </w:r>
            <w:r w:rsidRPr="0036648E">
              <w:rPr>
                <w:rFonts w:ascii="Arial" w:hAnsi="Arial" w:cs="Arial"/>
                <w:sz w:val="20"/>
                <w:szCs w:val="20"/>
              </w:rPr>
              <w:t>- Ban Bí thư Trung ương Đảng;</w:t>
            </w:r>
            <w:r w:rsidRPr="0036648E">
              <w:rPr>
                <w:rFonts w:ascii="Arial" w:hAnsi="Arial" w:cs="Arial"/>
                <w:sz w:val="20"/>
                <w:szCs w:val="20"/>
              </w:rPr>
              <w:br/>
              <w:t>- Thủ tướng Chính phủ và các Phó thủ tướng Chính phủ;</w:t>
            </w:r>
            <w:r w:rsidRPr="0036648E">
              <w:rPr>
                <w:rFonts w:ascii="Arial" w:hAnsi="Arial" w:cs="Arial"/>
                <w:sz w:val="20"/>
                <w:szCs w:val="20"/>
              </w:rPr>
              <w:br/>
              <w:t>- Văn phòng Trung ương và các Ban của Đảng;</w:t>
            </w:r>
            <w:r w:rsidRPr="0036648E">
              <w:rPr>
                <w:rFonts w:ascii="Arial" w:hAnsi="Arial" w:cs="Arial"/>
                <w:sz w:val="20"/>
                <w:szCs w:val="20"/>
              </w:rPr>
              <w:br/>
              <w:t>- Văn phòng Tổng bí thư;</w:t>
            </w:r>
            <w:r w:rsidRPr="0036648E">
              <w:rPr>
                <w:rFonts w:ascii="Arial" w:hAnsi="Arial" w:cs="Arial"/>
                <w:sz w:val="20"/>
                <w:szCs w:val="20"/>
              </w:rPr>
              <w:br/>
              <w:t>- Văn phòng Quốc hội;</w:t>
            </w:r>
            <w:r w:rsidRPr="0036648E">
              <w:rPr>
                <w:rFonts w:ascii="Arial" w:hAnsi="Arial" w:cs="Arial"/>
                <w:sz w:val="20"/>
                <w:szCs w:val="20"/>
              </w:rPr>
              <w:br/>
              <w:t>- Văn phòng Chủ tịch nước;</w:t>
            </w:r>
            <w:r w:rsidRPr="0036648E">
              <w:rPr>
                <w:rFonts w:ascii="Arial" w:hAnsi="Arial" w:cs="Arial"/>
                <w:sz w:val="20"/>
                <w:szCs w:val="20"/>
              </w:rPr>
              <w:br/>
              <w:t>- Viện Kiểm sát nhân dân tối cao;</w:t>
            </w:r>
            <w:r w:rsidRPr="0036648E">
              <w:rPr>
                <w:rFonts w:ascii="Arial" w:hAnsi="Arial" w:cs="Arial"/>
                <w:sz w:val="20"/>
                <w:szCs w:val="20"/>
              </w:rPr>
              <w:br/>
              <w:t>- Toà án Nhân dân tối cao;</w:t>
            </w:r>
            <w:r w:rsidRPr="0036648E">
              <w:rPr>
                <w:rFonts w:ascii="Arial" w:hAnsi="Arial" w:cs="Arial"/>
                <w:sz w:val="20"/>
                <w:szCs w:val="20"/>
              </w:rPr>
              <w:br/>
              <w:t>- Kiểm toán Nhà nước;</w:t>
            </w:r>
            <w:r w:rsidRPr="0036648E">
              <w:rPr>
                <w:rFonts w:ascii="Arial" w:hAnsi="Arial" w:cs="Arial"/>
                <w:sz w:val="20"/>
                <w:szCs w:val="20"/>
              </w:rPr>
              <w:br/>
              <w:t>- Các Bộ, cơ quan ngang Bộ, cơ quan thuộc Chính phủ;</w:t>
            </w:r>
            <w:r w:rsidRPr="0036648E">
              <w:rPr>
                <w:rFonts w:ascii="Arial" w:hAnsi="Arial" w:cs="Arial"/>
                <w:sz w:val="20"/>
                <w:szCs w:val="20"/>
              </w:rPr>
              <w:br/>
              <w:t>- Cơ quan trung ương của các tổ chức đoàn thể;</w:t>
            </w:r>
            <w:r w:rsidRPr="0036648E">
              <w:rPr>
                <w:rFonts w:ascii="Arial" w:hAnsi="Arial" w:cs="Arial"/>
                <w:sz w:val="20"/>
                <w:szCs w:val="20"/>
              </w:rPr>
              <w:br/>
              <w:t>- HĐND, UBND các tỉnh, TP trực thuộc Trung ương;</w:t>
            </w:r>
            <w:r w:rsidRPr="0036648E">
              <w:rPr>
                <w:rFonts w:ascii="Arial" w:hAnsi="Arial" w:cs="Arial"/>
                <w:sz w:val="20"/>
                <w:szCs w:val="20"/>
              </w:rPr>
              <w:br/>
              <w:t>- Sở Tài chính các tỉnh, TP trực thuộc Trung ương;</w:t>
            </w:r>
            <w:r w:rsidRPr="0036648E">
              <w:rPr>
                <w:rFonts w:ascii="Arial" w:hAnsi="Arial" w:cs="Arial"/>
                <w:sz w:val="20"/>
                <w:szCs w:val="20"/>
              </w:rPr>
              <w:br/>
              <w:t>- Cục Kiểm tra văn bản QPPL (Bộ Tư pháp);</w:t>
            </w:r>
            <w:r w:rsidRPr="0036648E">
              <w:rPr>
                <w:rFonts w:ascii="Arial" w:hAnsi="Arial" w:cs="Arial"/>
                <w:sz w:val="20"/>
                <w:szCs w:val="20"/>
              </w:rPr>
              <w:br/>
              <w:t>- Công báo;</w:t>
            </w:r>
            <w:r w:rsidRPr="0036648E">
              <w:rPr>
                <w:rFonts w:ascii="Arial" w:hAnsi="Arial" w:cs="Arial"/>
                <w:sz w:val="20"/>
                <w:szCs w:val="20"/>
              </w:rPr>
              <w:br/>
              <w:t>- Cổng Thông tin điện tử Chính phủ;</w:t>
            </w:r>
            <w:r w:rsidRPr="0036648E">
              <w:rPr>
                <w:rFonts w:ascii="Arial" w:hAnsi="Arial" w:cs="Arial"/>
                <w:sz w:val="20"/>
                <w:szCs w:val="20"/>
              </w:rPr>
              <w:br/>
              <w:t>- Cổng Thông tin điện tử Bộ Tài chính;</w:t>
            </w:r>
            <w:r w:rsidRPr="0036648E">
              <w:rPr>
                <w:rFonts w:ascii="Arial" w:hAnsi="Arial" w:cs="Arial"/>
                <w:sz w:val="20"/>
                <w:szCs w:val="20"/>
              </w:rPr>
              <w:br/>
              <w:t>- Các đơn vị thuộc Bộ Tài chính;</w:t>
            </w:r>
            <w:r w:rsidRPr="0036648E">
              <w:rPr>
                <w:rFonts w:ascii="Arial" w:hAnsi="Arial" w:cs="Arial"/>
                <w:sz w:val="20"/>
                <w:szCs w:val="20"/>
              </w:rPr>
              <w:br/>
              <w:t>- Lưu: VT, QLCS. (    )</w:t>
            </w:r>
          </w:p>
        </w:tc>
        <w:tc>
          <w:tcPr>
            <w:tcW w:w="2252" w:type="pct"/>
            <w:tcBorders>
              <w:top w:val="nil"/>
              <w:left w:val="nil"/>
              <w:bottom w:val="nil"/>
              <w:right w:val="nil"/>
              <w:tl2br w:val="nil"/>
              <w:tr2bl w:val="nil"/>
            </w:tcBorders>
            <w:shd w:val="clear" w:color="auto" w:fill="auto"/>
            <w:tcMar>
              <w:top w:w="0" w:type="dxa"/>
              <w:left w:w="108" w:type="dxa"/>
              <w:bottom w:w="0" w:type="dxa"/>
              <w:right w:w="108" w:type="dxa"/>
            </w:tcMar>
          </w:tcPr>
          <w:p w:rsidR="00D948BF" w:rsidRPr="0036648E" w:rsidRDefault="00FE5653" w:rsidP="000602E1">
            <w:pPr>
              <w:jc w:val="center"/>
              <w:rPr>
                <w:rFonts w:ascii="Arial" w:hAnsi="Arial" w:cs="Arial"/>
                <w:sz w:val="20"/>
                <w:szCs w:val="20"/>
              </w:rPr>
            </w:pPr>
            <w:r w:rsidRPr="0036648E">
              <w:rPr>
                <w:rFonts w:ascii="Arial" w:hAnsi="Arial" w:cs="Arial"/>
                <w:b/>
                <w:bCs/>
                <w:sz w:val="20"/>
                <w:szCs w:val="20"/>
              </w:rPr>
              <w:t>KT. BỘ TRƯỞNG</w:t>
            </w:r>
            <w:r w:rsidRPr="0036648E">
              <w:rPr>
                <w:rFonts w:ascii="Arial" w:hAnsi="Arial" w:cs="Arial"/>
                <w:b/>
                <w:bCs/>
                <w:sz w:val="20"/>
                <w:szCs w:val="20"/>
              </w:rPr>
              <w:br/>
              <w:t>THỨ TRƯỞNG</w:t>
            </w:r>
            <w:r w:rsidRPr="0036648E">
              <w:rPr>
                <w:rFonts w:ascii="Arial" w:hAnsi="Arial" w:cs="Arial"/>
                <w:b/>
                <w:bCs/>
                <w:sz w:val="20"/>
                <w:szCs w:val="20"/>
              </w:rPr>
              <w:br/>
            </w:r>
            <w:r w:rsidRPr="0036648E">
              <w:rPr>
                <w:rFonts w:ascii="Arial" w:hAnsi="Arial" w:cs="Arial"/>
                <w:b/>
                <w:bCs/>
                <w:sz w:val="20"/>
                <w:szCs w:val="20"/>
              </w:rPr>
              <w:br/>
            </w:r>
            <w:r w:rsidRPr="0036648E">
              <w:rPr>
                <w:rFonts w:ascii="Arial" w:hAnsi="Arial" w:cs="Arial"/>
                <w:b/>
                <w:bCs/>
                <w:sz w:val="20"/>
                <w:szCs w:val="20"/>
              </w:rPr>
              <w:br/>
            </w:r>
            <w:r w:rsidRPr="0036648E">
              <w:rPr>
                <w:rFonts w:ascii="Arial" w:hAnsi="Arial" w:cs="Arial"/>
                <w:b/>
                <w:bCs/>
                <w:sz w:val="20"/>
                <w:szCs w:val="20"/>
              </w:rPr>
              <w:br/>
            </w:r>
            <w:r w:rsidRPr="0036648E">
              <w:rPr>
                <w:rFonts w:ascii="Arial" w:hAnsi="Arial" w:cs="Arial"/>
                <w:b/>
                <w:bCs/>
                <w:sz w:val="20"/>
                <w:szCs w:val="20"/>
              </w:rPr>
              <w:br/>
              <w:t>Bùi Văn Khắng</w:t>
            </w:r>
          </w:p>
        </w:tc>
      </w:tr>
    </w:tbl>
    <w:p w:rsidR="00FE5653" w:rsidRPr="0036648E" w:rsidRDefault="00FE5653" w:rsidP="0036648E">
      <w:pPr>
        <w:spacing w:after="120"/>
        <w:ind w:firstLine="720"/>
        <w:jc w:val="both"/>
        <w:rPr>
          <w:rFonts w:ascii="Arial" w:hAnsi="Arial" w:cs="Arial"/>
          <w:sz w:val="20"/>
          <w:szCs w:val="20"/>
        </w:rPr>
      </w:pPr>
      <w:r w:rsidRPr="0036648E">
        <w:rPr>
          <w:rFonts w:ascii="Arial" w:hAnsi="Arial" w:cs="Arial"/>
          <w:sz w:val="20"/>
          <w:szCs w:val="20"/>
        </w:rPr>
        <w:t> </w:t>
      </w:r>
    </w:p>
    <w:sectPr w:rsidR="00FE5653" w:rsidRPr="0036648E" w:rsidSect="0036648E">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00" w:rsidRDefault="00831E00" w:rsidP="00317E30">
      <w:r>
        <w:separator/>
      </w:r>
    </w:p>
  </w:endnote>
  <w:endnote w:type="continuationSeparator" w:id="0">
    <w:p w:rsidR="00831E00" w:rsidRDefault="00831E00" w:rsidP="0031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00" w:rsidRDefault="00831E00" w:rsidP="00317E30">
      <w:r>
        <w:separator/>
      </w:r>
    </w:p>
  </w:footnote>
  <w:footnote w:type="continuationSeparator" w:id="0">
    <w:p w:rsidR="00831E00" w:rsidRDefault="00831E00" w:rsidP="00317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8E"/>
    <w:rsid w:val="000602E1"/>
    <w:rsid w:val="00317E30"/>
    <w:rsid w:val="0036648E"/>
    <w:rsid w:val="007A1E29"/>
    <w:rsid w:val="00831E00"/>
    <w:rsid w:val="00D948BF"/>
    <w:rsid w:val="00FE56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346D127-A404-4245-9A1B-413C4D52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30"/>
    <w:pPr>
      <w:tabs>
        <w:tab w:val="center" w:pos="4680"/>
        <w:tab w:val="right" w:pos="9360"/>
      </w:tabs>
    </w:pPr>
  </w:style>
  <w:style w:type="character" w:customStyle="1" w:styleId="HeaderChar">
    <w:name w:val="Header Char"/>
    <w:basedOn w:val="DefaultParagraphFont"/>
    <w:link w:val="Header"/>
    <w:uiPriority w:val="99"/>
    <w:rsid w:val="00317E30"/>
    <w:rPr>
      <w:sz w:val="24"/>
      <w:szCs w:val="24"/>
    </w:rPr>
  </w:style>
  <w:style w:type="paragraph" w:styleId="Footer">
    <w:name w:val="footer"/>
    <w:basedOn w:val="Normal"/>
    <w:link w:val="FooterChar"/>
    <w:uiPriority w:val="99"/>
    <w:unhideWhenUsed/>
    <w:rsid w:val="00317E30"/>
    <w:pPr>
      <w:tabs>
        <w:tab w:val="center" w:pos="4680"/>
        <w:tab w:val="right" w:pos="9360"/>
      </w:tabs>
    </w:pPr>
  </w:style>
  <w:style w:type="character" w:customStyle="1" w:styleId="FooterChar">
    <w:name w:val="Footer Char"/>
    <w:basedOn w:val="DefaultParagraphFont"/>
    <w:link w:val="Footer"/>
    <w:uiPriority w:val="99"/>
    <w:rsid w:val="00317E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2025-01-15T01:23:00Z</dcterms:created>
  <dcterms:modified xsi:type="dcterms:W3CDTF">2025-01-16T02:19:00Z</dcterms:modified>
</cp:coreProperties>
</file>