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545"/>
        <w:gridCol w:w="5481"/>
      </w:tblGrid>
      <w:tr w:rsidR="00EB4C11" w:rsidRPr="00EB4C11" w14:paraId="34C785B6" w14:textId="77777777" w:rsidTr="00BA64C4">
        <w:tc>
          <w:tcPr>
            <w:tcW w:w="1964" w:type="pct"/>
          </w:tcPr>
          <w:p w14:paraId="6CF869F7" w14:textId="5F7E963E" w:rsidR="00C30EEF" w:rsidRPr="00EB4C11" w:rsidRDefault="00A24B17" w:rsidP="00D0223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B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  <w:r w:rsidRPr="00EB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B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TÀI CHÍNH</w:t>
            </w:r>
            <w:r w:rsidRPr="00EB4C1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B4C11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EB4C1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D02233" w:rsidRPr="00EB4C11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br/>
            </w:r>
            <w:r w:rsidRPr="00EB4C11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EB4C1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EB4C11">
              <w:rPr>
                <w:rFonts w:ascii="Arial" w:hAnsi="Arial" w:cs="Arial"/>
                <w:color w:val="000000" w:themeColor="text1"/>
                <w:sz w:val="20"/>
                <w:szCs w:val="20"/>
              </w:rPr>
              <w:t>: 81/2025/</w:t>
            </w:r>
            <w:r w:rsidR="00D02233" w:rsidRPr="00EB4C11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TT-BTC</w:t>
            </w:r>
          </w:p>
        </w:tc>
        <w:tc>
          <w:tcPr>
            <w:tcW w:w="3036" w:type="pct"/>
          </w:tcPr>
          <w:p w14:paraId="11062BB5" w14:textId="77777777" w:rsidR="00C30EEF" w:rsidRPr="00EB4C11" w:rsidRDefault="00A24B17" w:rsidP="00D0223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EB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B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HÒA XÃ H</w:t>
            </w:r>
            <w:r w:rsidRPr="00EB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B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CH</w:t>
            </w:r>
            <w:r w:rsidRPr="00EB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EB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NGHĨA VI</w:t>
            </w:r>
            <w:r w:rsidRPr="00EB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EB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NAM</w:t>
            </w:r>
            <w:r w:rsidRPr="00EB4C1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B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EB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B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l</w:t>
            </w:r>
            <w:r w:rsidRPr="00EB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EB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– T</w:t>
            </w:r>
            <w:r w:rsidRPr="00EB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EB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do – H</w:t>
            </w:r>
            <w:r w:rsidRPr="00EB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EB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 phúc</w:t>
            </w:r>
            <w:r w:rsidRPr="00EB4C1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B4C11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EB4C1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B4C1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 N</w:t>
            </w:r>
            <w:r w:rsidRPr="00EB4C1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EB4C1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 ngày 13 tháng 8 năm 2025</w:t>
            </w:r>
          </w:p>
        </w:tc>
      </w:tr>
    </w:tbl>
    <w:p w14:paraId="44F50864" w14:textId="77777777" w:rsidR="00D02233" w:rsidRPr="00EB4C11" w:rsidRDefault="00D02233" w:rsidP="00D0223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</w:p>
    <w:p w14:paraId="17C0FA7F" w14:textId="77777777" w:rsidR="00D02233" w:rsidRPr="00EB4C11" w:rsidRDefault="00D02233" w:rsidP="00D0223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</w:p>
    <w:p w14:paraId="6561717B" w14:textId="6156982D" w:rsidR="00C30EEF" w:rsidRPr="00EB4C11" w:rsidRDefault="00A24B17" w:rsidP="00D0223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THÔNG TƯ</w:t>
      </w:r>
    </w:p>
    <w:p w14:paraId="664B57C5" w14:textId="77777777" w:rsidR="00C30EEF" w:rsidRPr="00EB4C11" w:rsidRDefault="00A24B17" w:rsidP="00D0223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n lý và s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ng tài kho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n thanh toán c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c Nhà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br/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nư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c m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 xml:space="preserve">i Ngân 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hàng Nhà nư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c Vi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t Nam và các ngân hàng thương m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00634A81" w14:textId="6FDAD8A3" w:rsidR="00D02233" w:rsidRPr="00EB4C11" w:rsidRDefault="00D02233" w:rsidP="00D0223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  <w:lang w:val="en-GB"/>
        </w:rPr>
      </w:pPr>
      <w:r w:rsidRPr="00EB4C11">
        <w:rPr>
          <w:rFonts w:ascii="Arial" w:hAnsi="Arial" w:cs="Arial"/>
          <w:color w:val="000000" w:themeColor="text1"/>
          <w:sz w:val="20"/>
          <w:szCs w:val="20"/>
          <w:vertAlign w:val="superscript"/>
          <w:lang w:val="en-GB"/>
        </w:rPr>
        <w:t>____________</w:t>
      </w:r>
    </w:p>
    <w:p w14:paraId="43257BFB" w14:textId="77777777" w:rsidR="00D02233" w:rsidRPr="00EB4C11" w:rsidRDefault="00D02233" w:rsidP="00D0223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73730378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t Ngân sách nhà nư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c ngày 25 tháng 6 năm 2015;</w:t>
      </w:r>
    </w:p>
    <w:p w14:paraId="1E5909CF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 xml:space="preserve"> 24/2016/NĐ-CP ngày 05 tháng 4 năm 2016 c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nh ch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 xml:space="preserve"> qu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n lý ngân qu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ỹ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 xml:space="preserve"> nhà nư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c (đư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ung b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i Ngh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 xml:space="preserve"> 14/2025/NĐ-CP);</w:t>
      </w:r>
    </w:p>
    <w:p w14:paraId="58D9FD60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 xml:space="preserve"> 29/2025/NĐ-CP ngày 24 tháng 02 năm 2025 c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nh ch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c năng, nhi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m v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, quy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n h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n và cơ c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u t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(đư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i Ngh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 xml:space="preserve"> 166/2025/NĐ-CP);</w:t>
      </w:r>
    </w:p>
    <w:p w14:paraId="3DDA280A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a Giám đ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c Kho b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c;</w:t>
      </w:r>
    </w:p>
    <w:p w14:paraId="753ECB24" w14:textId="77777777" w:rsidR="00C30EEF" w:rsidRPr="00EB4C11" w:rsidRDefault="00A24B17" w:rsidP="00D0223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ban hành Thông tư quy đ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nh v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 xml:space="preserve"> qu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n lý và s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ng tài kho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n thanh toán c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c m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i Ngân hàng Nhà nư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c Vi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t Nam và các ngân hàng thương m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i.</w:t>
      </w:r>
    </w:p>
    <w:p w14:paraId="1E312803" w14:textId="77777777" w:rsidR="00D02233" w:rsidRPr="00804668" w:rsidRDefault="00D02233" w:rsidP="00D0223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C48A458" w14:textId="77777777" w:rsidR="00D02233" w:rsidRPr="00EB4C11" w:rsidRDefault="00A24B17" w:rsidP="00D0223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Chương I</w:t>
      </w:r>
    </w:p>
    <w:p w14:paraId="0504172C" w14:textId="71DA57AE" w:rsidR="00C30EEF" w:rsidRPr="00EB4C11" w:rsidRDefault="00A24B17" w:rsidP="00D0223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23759B7A" w14:textId="77777777" w:rsidR="00D02233" w:rsidRPr="00EB4C11" w:rsidRDefault="00D02233" w:rsidP="00D0223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08F9A677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 xml:space="preserve">u 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nh, đ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C73CE89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vi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nh: Thông tư này quy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Ngân hàng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Nam và các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1C75D86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áp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485BABFB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a)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c, bao g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m: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(Trung ương) và các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khu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FE18EE7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b)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nơi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toán.</w:t>
      </w:r>
    </w:p>
    <w:p w14:paraId="0B342224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u 2. Gi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i thích t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 xml:space="preserve"> ng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6A0E7A0B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Trong Thông tư này, các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đây đư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như sau:</w:t>
      </w:r>
    </w:p>
    <w:p w14:paraId="486CF653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1. Thanh toán song phương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: Là quá tr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ình x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lý các giao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ch thanh toán theo phương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theo mô hình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phân tán quy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5 Thông tư này 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theo mô hình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p trung quy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u 6 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Thông tư này.</w:t>
      </w:r>
    </w:p>
    <w:p w14:paraId="1732B16F" w14:textId="2C500780" w:rsidR="00C30EEF" w:rsidRPr="00EB4C11" w:rsidRDefault="00A24B17" w:rsidP="00D0223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“cut off time” (sau đây vi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là COT): Là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truy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n, nh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thanh toán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thanh toán trong ngày làm vi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và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i. Gi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E2B98" w:rsidRPr="00EB4C11">
        <w:rPr>
          <w:rFonts w:ascii="Arial" w:hAnsi="Arial" w:cs="Arial"/>
          <w:color w:val="000000" w:themeColor="text1"/>
          <w:sz w:val="20"/>
          <w:szCs w:val="20"/>
        </w:rPr>
        <w:t xml:space="preserve">COT 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nh là lúc 16 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gi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ngày làm vi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theo gi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Nam; trư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t,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COT cho phù 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047CAC0" w14:textId="77777777" w:rsidR="00D02233" w:rsidRPr="00EB4C11" w:rsidRDefault="00D02233" w:rsidP="00D0223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ECDBCA7" w14:textId="7632A744" w:rsidR="00C30EEF" w:rsidRPr="00EB4C11" w:rsidRDefault="00A24B17" w:rsidP="00D0223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II </w:t>
      </w:r>
    </w:p>
    <w:p w14:paraId="05CB1788" w14:textId="77777777" w:rsidR="00C30EEF" w:rsidRPr="00804668" w:rsidRDefault="00A24B17" w:rsidP="00D0223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20BB84D0" w14:textId="77777777" w:rsidR="00D02233" w:rsidRPr="00804668" w:rsidRDefault="00D02233" w:rsidP="00D0223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B526D1C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u 3. Qu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n lý và s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ng tài kho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n thanh toán c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 xml:space="preserve">i Ngân 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hàng Nhà nư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c Vi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0430A790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1.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(Trung ương)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01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Nam (VND) và 01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(theo lo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phát sinh)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ch Ngân hàng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5998F15D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2.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(Trung ương)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ch Ngân hàng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Nam đ</w:t>
      </w:r>
      <w:bookmarkStart w:id="0" w:name="_GoBack"/>
      <w:bookmarkEnd w:id="0"/>
      <w:r w:rsidRPr="00EB4C11">
        <w:rPr>
          <w:rFonts w:ascii="Arial" w:hAnsi="Arial" w:cs="Arial"/>
          <w:color w:val="000000" w:themeColor="text1"/>
          <w:sz w:val="20"/>
          <w:szCs w:val="20"/>
        </w:rPr>
        <w:t>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các giao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ch thu, chi ngân qu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c; giao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lastRenderedPageBreak/>
        <w:t>hành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dư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(chuy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các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o kh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năng thanh toán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c; giao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ngân qu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nhàn r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i, x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lý ngân qu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B706383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3.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thanh toán qua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(Trung ương)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ch Ngân hàng N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Nam theo quy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Thông tư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08/2024/TT-NHNN ngày 25 tháng 6 năm 2024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Nam quy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hành và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Thanh toán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liên ngân hàng Qu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01A6738F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u 4. Ngân hàng thương m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i nơi Kho b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c m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 xml:space="preserve"> tài kho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n thanh toán</w:t>
      </w:r>
    </w:p>
    <w:p w14:paraId="69ABD5B1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1.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o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đó không thu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p đã chuy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giao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đang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soát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theo quy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Ngân hàn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g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Nam; có kh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năng thanh toán song phương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theo yêu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nghi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trên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thông tin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031CF9B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khi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i,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và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song phương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theo các n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ban hành kèm theo Thông tư này. Trong đó, vi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thanh toán song phương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theo mô hình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anh toán phân tán 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mô hình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p trung đư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căn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vào kh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năng đáp 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nghi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đó theo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mô hình.</w:t>
      </w:r>
    </w:p>
    <w:p w14:paraId="11F62642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u 5. Qu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n lý và s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ng tài kho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n thanh toán c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i ngân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 xml:space="preserve"> hàng thương m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i thanh toán song phương đi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 xml:space="preserve"> theo mô hình tài kho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n thanh toán phân tán</w:t>
      </w:r>
    </w:p>
    <w:p w14:paraId="2B266741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1. Nơi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toán:</w:t>
      </w:r>
    </w:p>
    <w:p w14:paraId="7B53F013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a)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(Trung ương)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VND và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(theo lo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phát sinh)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chính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5E2DF58C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b)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khu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VND và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(theo lo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phát sinh)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chi nhánh, phòng giao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ch thu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cùng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nơi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(Trung ương)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h toán.</w:t>
      </w:r>
    </w:p>
    <w:p w14:paraId="2431E463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dung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toán:</w:t>
      </w:r>
    </w:p>
    <w:p w14:paraId="29136C5A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a)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(Trung ương) đư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các giao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ch thu, chi ngân qu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c; giao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hành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dư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(chuy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các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o kh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năng thanh toán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c; giao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ngân qu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nhàn r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i, x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lý ngân qu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9308FFC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b)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các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khu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các giao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ch thu, chi ngân qu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710A7D8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3. Qu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lý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dư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toán:</w:t>
      </w:r>
    </w:p>
    <w:p w14:paraId="2503AF29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a) Cu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ngày giao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ch, toàn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dư trên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(Trung ương) và các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khu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tài k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(Trung ương)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ch Ngân hàng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Nam (tr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dư nh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mà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chưa đư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Ngân hàng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Nam),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o theo đúng quy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10 Ngh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24/2016/NĐ-CP ngày 05 tháng 4 năm 2016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lý ngân qu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(đư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sung năm 2025).</w:t>
      </w:r>
    </w:p>
    <w:p w14:paraId="19637962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b) Nh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thu phát sinh sau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COT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ngày làm vi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và trong ngày ngh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, ngày l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nh trên tài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(Trung ương) và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khu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i;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dư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(Trung ương) và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khu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không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n thanh 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toán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(Trung ương)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ch Ngân hàng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Nam trong ngày làm vi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do nguyên nhân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kháng theo quy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156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dân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năm 2015, thì đư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thành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dư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ngày làm vi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p theo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tài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đó và đư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(Trung ương)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ch Ngân hàng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Nam vào ngày làm vi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p theo.</w:t>
      </w:r>
    </w:p>
    <w:p w14:paraId="18347501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4.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(Trung ương) và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khu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qua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nh toán tương 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a Ngân hàng 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lastRenderedPageBreak/>
        <w:t>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Nam và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song phương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và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2F795705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p có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thu không đư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ch toán k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vào tài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(Trung ương) và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khu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do l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quan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i, thì ch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01 ngày làm vi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ngày phát 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n,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có trách nhi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thanh toán ti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ch toán cho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c, đư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5D0C225F" w14:textId="42F85103" w:rsidR="00C30EEF" w:rsidRPr="00BA64C4" w:rsidRDefault="00C30EEF" w:rsidP="00D0223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0"/>
        <w:gridCol w:w="411"/>
        <w:gridCol w:w="852"/>
        <w:gridCol w:w="1135"/>
        <w:gridCol w:w="3554"/>
        <w:gridCol w:w="493"/>
        <w:gridCol w:w="1291"/>
      </w:tblGrid>
      <w:tr w:rsidR="00804668" w:rsidRPr="00254906" w14:paraId="67FF8211" w14:textId="77777777" w:rsidTr="00BA64C4">
        <w:tc>
          <w:tcPr>
            <w:tcW w:w="714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C80AE" w14:textId="77777777" w:rsidR="00804668" w:rsidRPr="00BA64C4" w:rsidRDefault="00804668" w:rsidP="00195AE4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64C4">
              <w:rPr>
                <w:rFonts w:ascii="Arial" w:hAnsi="Arial" w:cs="Arial"/>
                <w:color w:val="000000" w:themeColor="text1"/>
                <w:sz w:val="20"/>
                <w:szCs w:val="20"/>
              </w:rPr>
              <w:t>Tiền chậm hạch toán phải thanh toán</w:t>
            </w:r>
          </w:p>
        </w:tc>
        <w:tc>
          <w:tcPr>
            <w:tcW w:w="22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16EC6" w14:textId="77777777" w:rsidR="00804668" w:rsidRPr="00254906" w:rsidRDefault="00804668" w:rsidP="00195AE4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25490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=</w:t>
            </w: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37A6C" w14:textId="77777777" w:rsidR="00804668" w:rsidRPr="00254906" w:rsidRDefault="00804668" w:rsidP="00195AE4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25490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Số thu chậm hạch toán</w:t>
            </w:r>
          </w:p>
        </w:tc>
        <w:tc>
          <w:tcPr>
            <w:tcW w:w="62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C4890" w14:textId="77777777" w:rsidR="00804668" w:rsidRPr="00254906" w:rsidRDefault="00804668" w:rsidP="00195AE4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25490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x 150% x</w:t>
            </w:r>
          </w:p>
        </w:tc>
        <w:tc>
          <w:tcPr>
            <w:tcW w:w="1969" w:type="pct"/>
            <w:tcBorders>
              <w:top w:val="nil"/>
              <w:left w:val="nil"/>
              <w:right w:val="nil"/>
            </w:tcBorders>
            <w:vAlign w:val="center"/>
          </w:tcPr>
          <w:p w14:paraId="2388B985" w14:textId="77777777" w:rsidR="00804668" w:rsidRPr="00254906" w:rsidRDefault="00804668" w:rsidP="00195AE4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25490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Lãi suất áp dụng đối với tiền gửi của Kho bạc Nhà nước tại Ngân hàng Nhà nước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Việt Nam </w:t>
            </w:r>
            <w:r w:rsidRPr="0025490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cùng thời kỳ</w:t>
            </w:r>
          </w:p>
        </w:tc>
        <w:tc>
          <w:tcPr>
            <w:tcW w:w="27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1EACC" w14:textId="77777777" w:rsidR="00804668" w:rsidRPr="00254906" w:rsidRDefault="00804668" w:rsidP="00195AE4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25490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x</w:t>
            </w:r>
          </w:p>
        </w:tc>
        <w:tc>
          <w:tcPr>
            <w:tcW w:w="71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978E4" w14:textId="77777777" w:rsidR="00804668" w:rsidRPr="00254906" w:rsidRDefault="00804668" w:rsidP="00195AE4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25490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Số ngày chậm hạch toán</w:t>
            </w:r>
          </w:p>
        </w:tc>
      </w:tr>
      <w:tr w:rsidR="00804668" w:rsidRPr="00254906" w14:paraId="5A2117FD" w14:textId="77777777" w:rsidTr="00BA64C4">
        <w:tc>
          <w:tcPr>
            <w:tcW w:w="714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502DABB4" w14:textId="77777777" w:rsidR="00804668" w:rsidRPr="00254906" w:rsidRDefault="00804668" w:rsidP="00195AE4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27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0320F6F4" w14:textId="77777777" w:rsidR="00804668" w:rsidRPr="00254906" w:rsidRDefault="00804668" w:rsidP="00195AE4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72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22AEAAF6" w14:textId="77777777" w:rsidR="00804668" w:rsidRPr="00254906" w:rsidRDefault="00804668" w:rsidP="00195AE4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29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21E15B50" w14:textId="77777777" w:rsidR="00804668" w:rsidRPr="00254906" w:rsidRDefault="00804668" w:rsidP="00195AE4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969" w:type="pct"/>
            <w:tcBorders>
              <w:left w:val="nil"/>
              <w:bottom w:val="nil"/>
              <w:right w:val="nil"/>
            </w:tcBorders>
            <w:vAlign w:val="center"/>
          </w:tcPr>
          <w:p w14:paraId="5D78E287" w14:textId="77777777" w:rsidR="00804668" w:rsidRPr="00254906" w:rsidRDefault="00804668" w:rsidP="00195AE4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25490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365</w:t>
            </w:r>
          </w:p>
        </w:tc>
        <w:tc>
          <w:tcPr>
            <w:tcW w:w="27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0197466A" w14:textId="77777777" w:rsidR="00804668" w:rsidRPr="00254906" w:rsidRDefault="00804668" w:rsidP="00195AE4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15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2374FD2B" w14:textId="77777777" w:rsidR="00804668" w:rsidRPr="00254906" w:rsidRDefault="00804668" w:rsidP="00195AE4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56E981FC" w14:textId="77777777" w:rsidR="00804668" w:rsidRPr="00EB4C11" w:rsidRDefault="00804668" w:rsidP="00D0223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358F8242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Trong đó,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ngày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ch toán (bao g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ngày ngh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, ngày l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t) đư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tính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ngày ph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ch toán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thu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ngày li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ngày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ch toán vào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(Trung ương)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Ngân hàng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5D84FF75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u 6. Qu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n lý và s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ng tài kho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n thanh toán c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i ngân hàng thương m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i thanh toán song phương đi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 xml:space="preserve"> theo mô hình tài kho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n thanh toán t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p trung</w:t>
      </w:r>
    </w:p>
    <w:p w14:paraId="52491168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nơi thanh toán song phương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theo mô hình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p trung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c,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(Trung ương)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01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VND và 01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(theo lo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phát sinh)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chính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i.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khu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không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này.</w:t>
      </w:r>
    </w:p>
    <w:p w14:paraId="582D9DD1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2.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(Trung ương) đư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các giao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ch thu, chi ngân qu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c; giao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hành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dư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(chuy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các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o kh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năng thanh toán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c; giao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ngân qu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nhàn r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i, x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lý ngân qu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90C4F5D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3. Qu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lý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dư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toán:</w:t>
      </w:r>
    </w:p>
    <w:p w14:paraId="184D86F8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a) Cu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ngày giao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ch, toàn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dư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COT trên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(Trung ương)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(Trung ương)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ch Ngân hàng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Nam (tr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dư nh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mà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chưa đư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ch Ngân hàng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Nam).</w:t>
      </w:r>
    </w:p>
    <w:p w14:paraId="713F85F2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lý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thu phát sinh sau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COT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ngày làm vi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và trong ngày ngh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, ngày l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nh trên tà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(Trung ương)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i;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dư trên các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(Trung ương)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không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(Trung ương)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Giao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ch Ngân hàng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Nam trong ngày làm vi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5 Thông tư này.</w:t>
      </w:r>
    </w:p>
    <w:p w14:paraId="2D029B69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4.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(Trung ương) và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khu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qua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(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Trung ương)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chính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Ngân hàng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Nam và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song phương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và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5810E6C8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p có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thu không đư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ch toán k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vào tài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(Trung ương)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do l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quan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i, thì ch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01 ngày làm vi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ngày phát 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n,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có trách nhi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thanh toán ti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ch toán cho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c. Ti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ch toán và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ngày ch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ch toán đư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5 Thông tư này.</w:t>
      </w:r>
    </w:p>
    <w:p w14:paraId="1B72661E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u 7. Nhi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 xml:space="preserve"> và quy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0EC4501D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1. Giám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nh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nơi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tài 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(tài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thu, chi ngân qu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thu ngân qu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c),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o theo đúng quy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4 Thông tư này.</w:t>
      </w:r>
    </w:p>
    <w:p w14:paraId="1C421964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lastRenderedPageBreak/>
        <w:t>2.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(Trung ương) và các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khu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Thông tư này.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hàng năm, đánh giá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nơi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theo các n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4 và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8 Thông tư này; trư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p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i không còn đáp 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nh, thì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đóng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đó.</w:t>
      </w:r>
    </w:p>
    <w:p w14:paraId="2ED4D54A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3. Ban hành, công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nghi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thanh toán song phương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theo mô hình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phân tán và mô hình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p trung trên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thông tin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607480F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4. Chia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và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danh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ngân hàng và danh sách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nơi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cho cơ qua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, cơ quan 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quan;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i, công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công khai trên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thông tin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và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50642890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u 8. Trách nhi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a ngân hàng thương m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2D74F03C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Thanh toán song phương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và truy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thông tin thu ngân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sách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cho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c, cơ quan thu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và cơ quan 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quan theo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song phương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đã ký k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4A00DCE" w14:textId="77777777" w:rsidR="00D02233" w:rsidRPr="00804668" w:rsidRDefault="00D02233" w:rsidP="00D0223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81CCEAE" w14:textId="77777777" w:rsidR="00D02233" w:rsidRPr="00804668" w:rsidRDefault="00A24B17" w:rsidP="00D0223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7A30F20E" w14:textId="38475339" w:rsidR="00C30EEF" w:rsidRPr="00804668" w:rsidRDefault="00A24B17" w:rsidP="00D0223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44457932" w14:textId="77777777" w:rsidR="00D02233" w:rsidRPr="00804668" w:rsidRDefault="00D02233" w:rsidP="00D0223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2C2EF22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u 9. Hi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4B5CC27E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1. Thông tư này có 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ngày 01 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tháng 10 năm 2025.</w:t>
      </w:r>
    </w:p>
    <w:p w14:paraId="409E3F21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2. Thông tư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58/2019/TT-BTC ngày 30 tháng 8 năm 2019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Ngân hàng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Nam và các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(đư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sung năm 202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1) 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ngày Thông tư này có 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thi hành.</w:t>
      </w:r>
    </w:p>
    <w:p w14:paraId="11E8A949" w14:textId="730C4823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p các văn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Thông tư này đư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, thì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theo văn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đó.</w:t>
      </w:r>
    </w:p>
    <w:p w14:paraId="25B31642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4. Các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song phư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ơng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đã ký k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ngày Thông tư này có 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thi hành mà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còn phù 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Thông tư này, thì đư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269B96B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u 10. T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0CFB16BD" w14:textId="716C573D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1.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nơi đã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oán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trình chuy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thanh toán song phương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theo mô hình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p trung, đ</w:t>
      </w:r>
      <w:r w:rsidR="00EB4C11" w:rsidRPr="00EB4C11">
        <w:rPr>
          <w:rFonts w:ascii="Arial" w:hAnsi="Arial" w:cs="Arial"/>
          <w:color w:val="000000" w:themeColor="text1"/>
          <w:sz w:val="20"/>
          <w:szCs w:val="20"/>
        </w:rPr>
        <w:t>ảm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B4C11" w:rsidRPr="00EB4C11">
        <w:rPr>
          <w:rFonts w:ascii="Arial" w:hAnsi="Arial" w:cs="Arial"/>
          <w:color w:val="000000" w:themeColor="text1"/>
          <w:sz w:val="20"/>
          <w:szCs w:val="20"/>
        </w:rPr>
        <w:t>bảo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hoàn thành tri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khai thanh toán song phương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theo mô hình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p trung ch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vào ngày 30 tháng 6 năm 2028.</w:t>
      </w:r>
    </w:p>
    <w:p w14:paraId="17A41479" w14:textId="77777777" w:rsidR="00C30EEF" w:rsidRPr="00EB4C11" w:rsidRDefault="00A24B17" w:rsidP="00D0223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2.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và các cơ quan, đơn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c, cá nhân có liên quan ch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thi hành Thông tư này./.</w:t>
      </w:r>
    </w:p>
    <w:p w14:paraId="4E99AA2A" w14:textId="77777777" w:rsidR="00D02233" w:rsidRPr="00804668" w:rsidRDefault="00D02233" w:rsidP="00D02233">
      <w:pPr>
        <w:adjustRightInd w:val="0"/>
        <w:snapToGrid w:val="0"/>
        <w:spacing w:after="0" w:line="240" w:lineRule="auto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EB4C11" w:rsidRPr="00EB4C11" w14:paraId="5F8F8205" w14:textId="77777777" w:rsidTr="00BA64C4">
        <w:tc>
          <w:tcPr>
            <w:tcW w:w="2500" w:type="pct"/>
          </w:tcPr>
          <w:p w14:paraId="51CE8931" w14:textId="0FE78800" w:rsidR="00D02233" w:rsidRPr="00804668" w:rsidRDefault="00D02233" w:rsidP="00D02233">
            <w:pPr>
              <w:adjustRightInd w:val="0"/>
              <w:snapToGrid w:val="0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</w:pPr>
            <w:r w:rsidRPr="00EB4C11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nhận:</w:t>
            </w:r>
            <w:r w:rsidRPr="00804668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br/>
            </w:r>
            <w:r w:rsidRPr="00EB4C11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TW và các Ban của Đảng;</w:t>
            </w:r>
            <w:r w:rsidRPr="0080466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B4C11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Quốc hội;</w:t>
            </w:r>
            <w:r w:rsidRPr="0080466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B4C11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Chủ tịch nước; Văn phòng Chính phủ;</w:t>
            </w:r>
            <w:r w:rsidRPr="0080466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B4C11">
              <w:rPr>
                <w:rFonts w:ascii="Arial" w:hAnsi="Arial" w:cs="Arial"/>
                <w:color w:val="000000" w:themeColor="text1"/>
                <w:sz w:val="20"/>
                <w:szCs w:val="20"/>
              </w:rPr>
              <w:t>- Tòa án nhân dân tối cao;</w:t>
            </w:r>
            <w:r w:rsidRPr="0080466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B4C11">
              <w:rPr>
                <w:rFonts w:ascii="Arial" w:hAnsi="Arial" w:cs="Arial"/>
                <w:color w:val="000000" w:themeColor="text1"/>
                <w:sz w:val="20"/>
                <w:szCs w:val="20"/>
              </w:rPr>
              <w:t>- Viện Kiểm sát nhân dân tối cao;</w:t>
            </w:r>
            <w:r w:rsidRPr="0080466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B4C11">
              <w:rPr>
                <w:rFonts w:ascii="Arial" w:hAnsi="Arial" w:cs="Arial"/>
                <w:color w:val="000000" w:themeColor="text1"/>
                <w:sz w:val="20"/>
                <w:szCs w:val="20"/>
              </w:rPr>
              <w:t>- Kiểm toán Nhà nước;</w:t>
            </w:r>
            <w:r w:rsidRPr="0080466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B4C11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Bộ, cơ quan ngang Bộ, cơ quan thuộc CP;</w:t>
            </w:r>
            <w:r w:rsidRPr="0080466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B4C11">
              <w:rPr>
                <w:rFonts w:ascii="Arial" w:hAnsi="Arial" w:cs="Arial"/>
                <w:color w:val="000000" w:themeColor="text1"/>
                <w:sz w:val="20"/>
                <w:szCs w:val="20"/>
              </w:rPr>
              <w:t>- Cơ quan trung ương của các đoàn thể;</w:t>
            </w:r>
            <w:r w:rsidRPr="0080466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B4C11">
              <w:rPr>
                <w:rFonts w:ascii="Arial" w:hAnsi="Arial" w:cs="Arial"/>
                <w:color w:val="000000" w:themeColor="text1"/>
                <w:sz w:val="20"/>
                <w:szCs w:val="20"/>
              </w:rPr>
              <w:t>- UBND các tỉnh, thành phố trực thuộc TW;</w:t>
            </w:r>
            <w:r w:rsidRPr="0080466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B4C11">
              <w:rPr>
                <w:rFonts w:ascii="Arial" w:hAnsi="Arial" w:cs="Arial"/>
                <w:color w:val="000000" w:themeColor="text1"/>
                <w:sz w:val="20"/>
                <w:szCs w:val="20"/>
              </w:rPr>
              <w:t>- Sở Tài chính, Kho bạc Nhà nước khu vực, Chi cục</w:t>
            </w:r>
            <w:r w:rsidR="00EB4C11" w:rsidRPr="008046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Thuế khu vực, Chi cục Hải quan khu vực</w:t>
            </w:r>
            <w:r w:rsidRPr="00804668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80466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B4C11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đơn vị thuộc Bộ Tài chính;</w:t>
            </w:r>
            <w:r w:rsidRPr="0080466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B4C11">
              <w:rPr>
                <w:rFonts w:ascii="Arial" w:hAnsi="Arial" w:cs="Arial"/>
                <w:color w:val="000000" w:themeColor="text1"/>
                <w:sz w:val="20"/>
                <w:szCs w:val="20"/>
              </w:rPr>
              <w:t>- Cục Kiểm tra văn bản (Bộ Tư pháp);</w:t>
            </w:r>
            <w:r w:rsidR="00EB4C11" w:rsidRPr="0080466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EB4C11" w:rsidRPr="00804668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lastRenderedPageBreak/>
              <w:t>- Công báo;</w:t>
            </w:r>
            <w:r w:rsidR="00EB4C11" w:rsidRPr="00804668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br/>
              <w:t>- Website Chính phủ; Website Bộ Tài chính;</w:t>
            </w:r>
            <w:r w:rsidR="00EB4C11" w:rsidRPr="00804668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br/>
              <w:t>- Lưu: VT, KBNN (250 bản)</w:t>
            </w:r>
          </w:p>
        </w:tc>
        <w:tc>
          <w:tcPr>
            <w:tcW w:w="2500" w:type="pct"/>
          </w:tcPr>
          <w:p w14:paraId="7B7200A4" w14:textId="04D23A77" w:rsidR="00D02233" w:rsidRPr="00804668" w:rsidRDefault="00EB4C11" w:rsidP="00EB4C11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  <w:r w:rsidRPr="00804668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lastRenderedPageBreak/>
              <w:t>KT. BỘ TRƯỞNG</w:t>
            </w:r>
            <w:r w:rsidRPr="00804668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br/>
              <w:t>THỨ TRƯỞNG</w:t>
            </w:r>
            <w:r w:rsidRPr="00804668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br/>
            </w:r>
            <w:r w:rsidRPr="00804668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br/>
            </w:r>
            <w:r w:rsidR="00C41C62" w:rsidRPr="00804668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br/>
            </w:r>
            <w:r w:rsidRPr="00804668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br/>
            </w:r>
            <w:r w:rsidRPr="00804668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br/>
            </w:r>
            <w:r w:rsidRPr="00804668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br/>
              <w:t>Cao Anh Tuấn</w:t>
            </w:r>
          </w:p>
        </w:tc>
      </w:tr>
    </w:tbl>
    <w:p w14:paraId="6C2E2596" w14:textId="4164EB3F" w:rsidR="00EB4C11" w:rsidRPr="00804668" w:rsidRDefault="00EB4C11" w:rsidP="00EB4C11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  <w:sectPr w:rsidR="00EB4C11" w:rsidRPr="00804668" w:rsidSect="00D02233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4E1455CD" w14:textId="5CE22EE6" w:rsidR="00C30EEF" w:rsidRPr="00EB4C11" w:rsidRDefault="00A24B17" w:rsidP="00EB4C1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7D2C7A34" w14:textId="77777777" w:rsidR="00C30EEF" w:rsidRPr="00EB4C11" w:rsidRDefault="00A24B17" w:rsidP="00D0223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I DUNG CH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 xml:space="preserve"> Y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A TH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A THU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br/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THANH TOÁN SONG PHƯƠNG ĐI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EB4C11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2E5909D6" w14:textId="77777777" w:rsidR="00C30EEF" w:rsidRPr="00804668" w:rsidRDefault="00A24B17" w:rsidP="00D0223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(Kèm theo Thông tư s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 xml:space="preserve"> 81/2025/TT-BTC ngày 13 tháng 8 năm 2025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br/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B4C11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chính)</w:t>
      </w:r>
    </w:p>
    <w:p w14:paraId="7F0161A7" w14:textId="77777777" w:rsidR="00D02233" w:rsidRPr="00804668" w:rsidRDefault="00D02233" w:rsidP="00D0223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8DB34C7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Trách nhi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các bên.</w:t>
      </w:r>
    </w:p>
    <w:p w14:paraId="7C848E8E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2. Nguyên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045DDCBE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- Nguyên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và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1FEA21F1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- Nguyên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o kh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năng thanh toán trên các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 c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ngân hàng thương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nơi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toán;</w:t>
      </w:r>
    </w:p>
    <w:p w14:paraId="7424E7E0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- Nguyên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p thu và 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y nhi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thu ngân sách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(trong đó có vi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truy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thông tin thu ngân sách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cho Kho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c, cơ quan thu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và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cơ quan 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quan);</w:t>
      </w:r>
    </w:p>
    <w:p w14:paraId="46E06799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- Nguyên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và truy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n, nh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thông tin, d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o tính toàn v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t, k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i, an toàn;</w:t>
      </w:r>
    </w:p>
    <w:p w14:paraId="29F32FBA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- Nguyên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lý, chuy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dư trên tài kho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thanh toán;</w:t>
      </w:r>
    </w:p>
    <w:p w14:paraId="717AAF8F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- Nguyên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ch toán;</w:t>
      </w:r>
    </w:p>
    <w:p w14:paraId="0AADFB9C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- Nguyên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lãi và phí thanh to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án;</w:t>
      </w:r>
    </w:p>
    <w:p w14:paraId="4F9A507C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- Các nguyên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khác (n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6E0E8374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m COT</w:t>
      </w:r>
    </w:p>
    <w:p w14:paraId="3DD5F440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4. Quy trình th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5407FF82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- Quy trình x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lý các l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nh thanh toán, quy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toán (n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51E20A46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- Quy trình 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u, quy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toán (n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67B0F66B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- Quy trình tra soát;</w:t>
      </w:r>
    </w:p>
    <w:p w14:paraId="0AEA62A8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- Quy trình x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 xml:space="preserve"> lý sai sót.</w:t>
      </w:r>
    </w:p>
    <w:p w14:paraId="5CD77D34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- Quy trình n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p, rút ti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ngân hàng thương m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(n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51EB1A3E" w14:textId="77777777" w:rsidR="00C30EEF" w:rsidRPr="00EB4C11" w:rsidRDefault="00A24B17" w:rsidP="00D0223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B4C11">
        <w:rPr>
          <w:rFonts w:ascii="Arial" w:hAnsi="Arial" w:cs="Arial"/>
          <w:color w:val="000000" w:themeColor="text1"/>
          <w:sz w:val="20"/>
          <w:szCs w:val="20"/>
        </w:rPr>
        <w:t>5. Khi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và b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B4C11">
        <w:rPr>
          <w:rFonts w:ascii="Arial" w:hAnsi="Arial" w:cs="Arial"/>
          <w:color w:val="000000" w:themeColor="text1"/>
          <w:sz w:val="20"/>
          <w:szCs w:val="20"/>
        </w:rPr>
        <w:t>i</w:t>
      </w:r>
    </w:p>
    <w:sectPr w:rsidR="00C30EEF" w:rsidRPr="00EB4C11" w:rsidSect="00D02233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6C645" w14:textId="77777777" w:rsidR="00A24B17" w:rsidRDefault="00A24B17">
      <w:pPr>
        <w:spacing w:after="0" w:line="240" w:lineRule="auto"/>
      </w:pPr>
      <w:r>
        <w:separator/>
      </w:r>
    </w:p>
  </w:endnote>
  <w:endnote w:type="continuationSeparator" w:id="0">
    <w:p w14:paraId="3608C798" w14:textId="77777777" w:rsidR="00A24B17" w:rsidRDefault="00A24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3B0DB" w14:textId="77777777" w:rsidR="00A24B17" w:rsidRDefault="00A24B17">
      <w:pPr>
        <w:spacing w:after="0" w:line="240" w:lineRule="auto"/>
      </w:pPr>
      <w:r>
        <w:separator/>
      </w:r>
    </w:p>
  </w:footnote>
  <w:footnote w:type="continuationSeparator" w:id="0">
    <w:p w14:paraId="499B9A4C" w14:textId="77777777" w:rsidR="00A24B17" w:rsidRDefault="00A24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EF"/>
    <w:rsid w:val="0008520F"/>
    <w:rsid w:val="001B761A"/>
    <w:rsid w:val="003F5AA8"/>
    <w:rsid w:val="00804668"/>
    <w:rsid w:val="00857D43"/>
    <w:rsid w:val="008E2B98"/>
    <w:rsid w:val="00A24B17"/>
    <w:rsid w:val="00AE7A43"/>
    <w:rsid w:val="00BA64C4"/>
    <w:rsid w:val="00C30EEF"/>
    <w:rsid w:val="00C41C62"/>
    <w:rsid w:val="00D02233"/>
    <w:rsid w:val="00EB4C11"/>
    <w:rsid w:val="00F9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1951C"/>
  <w15:docId w15:val="{955BE996-A138-4408-B394-79610732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233"/>
  </w:style>
  <w:style w:type="paragraph" w:styleId="Footer">
    <w:name w:val="footer"/>
    <w:basedOn w:val="Normal"/>
    <w:link w:val="FooterChar"/>
    <w:uiPriority w:val="99"/>
    <w:unhideWhenUsed/>
    <w:rsid w:val="00D02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233"/>
  </w:style>
  <w:style w:type="table" w:styleId="TableGrid">
    <w:name w:val="Table Grid"/>
    <w:basedOn w:val="TableNormal"/>
    <w:uiPriority w:val="39"/>
    <w:rsid w:val="00D02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2281</Words>
  <Characters>13004</Characters>
  <Application>Microsoft Office Word</Application>
  <DocSecurity>0</DocSecurity>
  <Lines>108</Lines>
  <Paragraphs>30</Paragraphs>
  <ScaleCrop>false</ScaleCrop>
  <Company/>
  <LinksUpToDate>false</LinksUpToDate>
  <CharactersWithSpaces>15255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9</cp:revision>
  <dcterms:created xsi:type="dcterms:W3CDTF">2025-08-15T09:11:00Z</dcterms:created>
  <dcterms:modified xsi:type="dcterms:W3CDTF">2025-08-18T01:30:00Z</dcterms:modified>
</cp:coreProperties>
</file>