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C13B1D" w:rsidRPr="00C13B1D" w14:paraId="4F7D3B6F" w14:textId="77777777" w:rsidTr="00C13B1D">
        <w:tc>
          <w:tcPr>
            <w:tcW w:w="1959" w:type="pct"/>
          </w:tcPr>
          <w:p w14:paraId="37E3EB59" w14:textId="59DB7DC4" w:rsidR="00CB30EB" w:rsidRPr="00C13B1D" w:rsidRDefault="001A2C98" w:rsidP="00C13B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13B1D"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13B1D"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60/2026/TT-BTC</w:t>
            </w:r>
          </w:p>
        </w:tc>
        <w:tc>
          <w:tcPr>
            <w:tcW w:w="3041" w:type="pct"/>
          </w:tcPr>
          <w:p w14:paraId="3DC87D57" w14:textId="5474B885" w:rsidR="00CB30EB" w:rsidRPr="00C13B1D" w:rsidRDefault="001A2C98" w:rsidP="00C13B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C13B1D"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C13B1D"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53433CB9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C25821" w14:textId="72B70B1F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5E0072" w14:textId="5EF53A16" w:rsidR="00CB30EB" w:rsidRP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3B43D734" w14:textId="1577F305" w:rsidR="00CB30EB" w:rsidRP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ng xuyên ngân </w:t>
      </w:r>
      <w:r w:rsidR="00C13B1D" w:rsidRPr="00C13B1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sách nhà nư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Chương trình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ng nông </w:t>
      </w:r>
      <w:r w:rsidR="00C13B1D" w:rsidRPr="00C13B1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thôn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="0049264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ng bào </w:t>
      </w:r>
      <w:r w:rsidR="00C13B1D" w:rsidRPr="00C13B1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2026 - 2035, giai đo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I: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năm 2026 </w:t>
      </w:r>
      <w:r w:rsidR="00C13B1D" w:rsidRPr="00C13B1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năm 2030</w:t>
      </w:r>
    </w:p>
    <w:p w14:paraId="4951B763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A3ABC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t Ngân 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sách nhà nư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06029D0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73/2026/NĐ-CP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2D4E1EC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358/2025/NĐ-CP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cơ ch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lý,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n các 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chương trình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gia;</w:t>
      </w:r>
    </w:p>
    <w:p w14:paraId="28FFBC5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đã đư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75E84B3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257/2025/Q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H15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 phê duy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trương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tư Chương trình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gia xây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2026 - 2035;</w:t>
      </w:r>
    </w:p>
    <w:p w14:paraId="6B9A440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16/2026/QĐ-TTg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Chính ph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nguyên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c, tiêu chí,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phân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ngân sách trung ương và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ỷ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ngân sách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phương th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gia xây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vùng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2026 - 2035;</w:t>
      </w:r>
    </w:p>
    <w:p w14:paraId="1830086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Quy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417/QĐ-BNNMT ngày 31 tháng 01 năm 2026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phê duy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Chương trình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gia xây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và phát tri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2026 - 2035,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I: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năm 2026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năm 2030;</w:t>
      </w:r>
    </w:p>
    <w:p w14:paraId="05BFEF4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a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- Kinh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ngành;</w:t>
      </w:r>
    </w:p>
    <w:p w14:paraId="2F4B3AAE" w14:textId="0934403B" w:rsidR="00CB30EB" w:rsidRDefault="001A2C98" w:rsidP="00C13B1D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hư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xã h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2026 - 2035, giai đo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I: t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 xml:space="preserve"> năm 2026 đ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n năm 2030.</w:t>
      </w:r>
    </w:p>
    <w:p w14:paraId="173F89E6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FDE836F" w14:textId="77777777" w:rsid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7416EE6A" w14:textId="766519C1" w:rsidR="00CB30EB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0E10160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EC5441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0D2935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096BD1D8" w14:textId="3484682F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Thông tư này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="000744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2026 - 2035,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I: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năm 2026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năm 2030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Chương trình)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ngày 31 tháng 01 năm 2026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</w:t>
      </w:r>
      <w:r w:rsidR="009070E9">
        <w:rPr>
          <w:rFonts w:ascii="Arial" w:hAnsi="Arial" w:cs="Arial"/>
          <w:color w:val="000000" w:themeColor="text1"/>
          <w:sz w:val="20"/>
          <w:szCs w:val="20"/>
        </w:rPr>
        <w:t xml:space="preserve"> phê duyệt Chương trình mục tiêu quốc gia xây dựng nông thôn mới, giảm nghèo bền vững và phát triển kinh tế - xã hội vùng đồng bào dân tộc thiểu số và miền núi giai đoạn 2026 – 2035, giai đoạn I: từ năm 2026 đến năm 2030 (sau đây gọi là Quyết định số 417/QĐ-BNNMT)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5DFF6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</w:t>
      </w:r>
      <w:bookmarkStart w:id="0" w:name="_GoBack"/>
      <w:bookmarkEnd w:id="0"/>
      <w:r w:rsidRPr="00C13B1D">
        <w:rPr>
          <w:rFonts w:ascii="Arial" w:hAnsi="Arial" w:cs="Arial"/>
          <w:color w:val="000000" w:themeColor="text1"/>
          <w:sz w:val="20"/>
          <w:szCs w:val="20"/>
        </w:rPr>
        <w:t>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mà nhà tài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nhà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tài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chưa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thì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191B9AD0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có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ghép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trung ương,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và các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358/2025/NĐ-CP)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này,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30EDE3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d) Thông tư này không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7C70278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đã có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riêng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hi tiêu tài chính;</w:t>
      </w:r>
    </w:p>
    <w:p w14:paraId="75A9DC7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107C448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A5EEEC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Thông tư này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cơ q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và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trình.</w:t>
      </w:r>
    </w:p>
    <w:p w14:paraId="76FA1C8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2. Ngu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kinh phí chi thư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và nguyên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kinh phí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chi thư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Chương trình</w:t>
      </w:r>
    </w:p>
    <w:p w14:paraId="7426677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Ngân sách trung ương</w:t>
      </w:r>
    </w:p>
    <w:p w14:paraId="005D735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cơ quan trung ương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trình;</w:t>
      </w:r>
    </w:p>
    <w:p w14:paraId="1C1EA25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có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cho các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16/2026/QĐ-TTg ngày 15 tháng 4 năm 2026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trung ương và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núi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2026 -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2035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16/2026/QĐ-TTg)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47370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6D17EC9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Các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ngân sách trung ương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có);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và tình hình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hàng năm,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và các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trên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16/2026/QĐ-TTg.</w:t>
      </w:r>
    </w:p>
    <w:p w14:paraId="49DBB11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3. Nguyên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</w:t>
      </w:r>
    </w:p>
    <w:p w14:paraId="0C25E2E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chuyên ngành có liên quan;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358/2025/NĐ-CP.</w:t>
      </w:r>
    </w:p>
    <w:p w14:paraId="247F659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104/2026/NĐ-CP ngày 31 tháng 3 năm 2026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104/2026/NĐ-CP);</w:t>
      </w:r>
    </w:p>
    <w:p w14:paraId="4668C38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bàn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mô hình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chính sách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có cùng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thì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chính sách có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cao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t; không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trùng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ghép các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không làm trùng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đúng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C22911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c)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đơn giá,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do cơ quan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nh, theo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giao.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thù riêng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phương,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xem xét,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525519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d) Các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trì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xem xét,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trung theo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hàng hóa,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53 và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54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3B8AC3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tiêu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theo đúng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 và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B4361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3.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toán, ch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 hành và quy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toán ngân sách nhà nư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28CD8D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hành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c;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358/2025/NĐ-CP;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16/2026/QĐ-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TTg;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các cơ quan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Chương trình;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phân công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trì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 và các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liên quan.</w:t>
      </w:r>
    </w:p>
    <w:p w14:paraId="406795E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Các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giao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theo đúng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ra, tránh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thoát, lãng phí.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các chương trình,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 khác thì không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trình.</w:t>
      </w:r>
    </w:p>
    <w:p w14:paraId="60EFC5E4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(Bên A) ký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khác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(Bên B)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 tài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làm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thanh toán,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lưu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Bên A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biên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thu công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biên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thanh to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án kinh phí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Bên B,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chi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chi và các tài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 liên quan khác. Các hóa đơn,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tiêu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do Bên B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lưu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hành. Bên B có trách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 đã ký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 phí theo đúng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Bên B là các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tác xã,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tác,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đình, doanh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trì liên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không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cơ quan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sơ sao lưu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cho Bên A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tránh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trong quá trình lưu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sơ. Cơ quan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(Bên A) có trách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tra, giám sát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(Bên B).</w:t>
      </w:r>
    </w:p>
    <w:p w14:paraId="6987B46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có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h,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thông qua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gia đình là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 (là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hành vi dân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thay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gia đình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). Cơ quan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kê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đình, trong đó ghi rõ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tên,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danh cá nhân/s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dân,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tên,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thông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 ký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nhãn mác,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lo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ký (d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tay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gia đình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(trong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thanh toán qua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 làm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16201DC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thanh toán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qua Kho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922E64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4.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i dung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và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chi chung</w:t>
      </w:r>
    </w:p>
    <w:p w14:paraId="7AEA331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tham gia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05B6399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100/2025/TT-BTC ngày 28 tháng 10 năm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dành cho công tác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100/2025/TT-BTC);</w:t>
      </w:r>
    </w:p>
    <w:p w14:paraId="3ACC400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b)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ăn, chi phí đi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tham gia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viên));</w:t>
      </w:r>
    </w:p>
    <w:p w14:paraId="48C1352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cho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phí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ăn, đi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viên thì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nâng cao năng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(trong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p)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viên thanh toán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lưu trú, di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72095C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Chi công tác phí;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</w:t>
      </w:r>
    </w:p>
    <w:p w14:paraId="781F864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Chi công tác phí: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 ngày 28 tháng 4 năm 2017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12/2025/TT-BTC ngày 19 tháng 3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 ngày 28 tháng 4 năm 2017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chung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40/2017/TT-BTC);</w:t>
      </w:r>
    </w:p>
    <w:p w14:paraId="6C6F437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 và các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037BCE7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thuê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(trong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không có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thuê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có nhưng không đáp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tham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 và các trang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 kèm; chi tài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m,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FACD23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công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báo cáo viên: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100/2025/TT-BTC. Tùy tình hình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cơ quan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các bu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đàm, giao lưu, các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thông,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chuyê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ăn,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cho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báo cáo viên.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100/2025/TT-BTC;</w:t>
      </w:r>
    </w:p>
    <w:p w14:paraId="640A900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bi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dương, tôn vinh, khen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cá nhân có thành tích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theo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khen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04435D6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chi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khác liên quan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76295C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3. Chi thông tin, tuyên truy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hông tư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văn hóa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2025-2035,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I: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năm 2025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năm 2030.</w:t>
      </w:r>
    </w:p>
    <w:p w14:paraId="0C19B67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4. Chi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ng, in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tay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tay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sách khác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cán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biên so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tay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tay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sách khác thì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biên so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05 ngày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100/2025/TT-BTC.</w:t>
      </w:r>
    </w:p>
    <w:p w14:paraId="5179904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5.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hi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o; chi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 và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</w:p>
    <w:p w14:paraId="3FA1C61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cho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do cơ quan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giao; trong đó không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 phí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rí kinh phí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và cơ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ngành, lĩnh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3C3964A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b) Chi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chuyên môn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93/2025/QH15,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45/2026/NĐ-CP ngày 26 tháng 01 năm 2026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45/2026/NĐ-CP),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148/2025/QH15 và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liên quan;</w:t>
      </w:r>
    </w:p>
    <w:p w14:paraId="00D8388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c) Chi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 và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67/2006/QH11,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148/2025/QH15,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45/2026/NĐ-CP,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1FCB024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6. Chi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và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chuyên môn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trình:</w:t>
      </w:r>
    </w:p>
    <w:p w14:paraId="55FE118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Chi thuê phiên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(d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nói):</w:t>
      </w:r>
    </w:p>
    <w:p w14:paraId="0EF3FD3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thuê phiên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ngoài sang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11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35/2026/TT-BTC ngày 31 tháng 3 năm 2026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35/2026/TT-BTC);</w:t>
      </w:r>
    </w:p>
    <w:p w14:paraId="4146E26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thuê phiên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sang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công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thuê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kiêm phiên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109/2016/TT-BTC ngày 30 tháng 6 năm 2016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kê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37/2022/TT-BTC ngày 22 tháng 6 năm 2022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chung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109/2016/TT-BTC).</w:t>
      </w:r>
    </w:p>
    <w:p w14:paraId="5769648F" w14:textId="07B00874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Chi biên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ngoài sang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424B23">
        <w:rPr>
          <w:rFonts w:ascii="Arial" w:hAnsi="Arial" w:cs="Arial"/>
          <w:color w:val="000000" w:themeColor="text1"/>
          <w:sz w:val="20"/>
          <w:szCs w:val="20"/>
        </w:rPr>
        <w:t xml:space="preserve">sang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và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i; chi biên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sang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</w:t>
      </w:r>
      <w:r w:rsidR="00852D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và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11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35/2026/TT-BTC.</w:t>
      </w:r>
    </w:p>
    <w:p w14:paraId="0143B08C" w14:textId="35399FF1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7. Chi thuê chuyên gia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chuyên môn: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gân sách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0F73CB">
        <w:rPr>
          <w:rFonts w:ascii="Arial" w:hAnsi="Arial" w:cs="Arial"/>
          <w:color w:val="000000" w:themeColor="text1"/>
          <w:sz w:val="20"/>
          <w:szCs w:val="20"/>
        </w:rPr>
        <w:t>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thuê chuyên gia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p.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thuê chuyên gia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7/2026/TT-BNV ngày 05 tháng 5 năm 2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lương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chuyên gia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làm cơ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7/2026/TT-BNV).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thuê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CD8A23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8. Chi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kê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chuyên môn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 và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109/2016/TT-BTC.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o sát thu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c, Công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265/2025/NĐ-CP)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38/2025/TT-BKHCN ngày 30 tháng 11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chi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38/2025/TT-BKHCN).</w:t>
      </w:r>
    </w:p>
    <w:p w14:paraId="3DD4943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9.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trong và ngoài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c; sơ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chi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40/2017/TT-BTC; Thông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35/2026/TT-BTC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140/2025/TT-BTC ngày 30 tháng 12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tác phí đi công tác 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ngoài do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kinh phí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140/2025/TT-BTC).</w:t>
      </w:r>
    </w:p>
    <w:p w14:paraId="1F45EA3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10.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chi các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mang tính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265/2025/NĐ-CP,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38/2025/TT-BKHCN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39/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2025/TT-BKHCN ngày 30 tháng 11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chi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39/2025/TT-BKHCN).</w:t>
      </w:r>
    </w:p>
    <w:p w14:paraId="58370A0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11. Chi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hàng hóa, trang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tư,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chuyên môn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có):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giá cư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ê phương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t),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thuê phương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trong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287DA3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túc phương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di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: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12/2025/TT-BTC.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hàng hóa, trang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tư trên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thì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đa không quá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nêu trên.</w:t>
      </w:r>
    </w:p>
    <w:p w14:paraId="40CC95D4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12. Chi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thuê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kiêm phiên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không kiêm phiên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c: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109/2016/TT-BTC.</w:t>
      </w:r>
    </w:p>
    <w:p w14:paraId="039CB1E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13. Chi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tra, giám sát, đánh giá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iám sát, đánh giá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40/2017/TT-BTC;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35/2026/TT-BTC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140/2025/TT-BTC.</w:t>
      </w:r>
    </w:p>
    <w:p w14:paraId="2D625E4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14. Chi các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i;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thương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u;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45/2025/TT-BTC ngày 18 tháng 6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thanh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kinh phí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Chương trình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và Chương trình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thương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u;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80/2022/TT-BTC ngày 30 tháng 12 năm 2022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phí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quy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tài chính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1C7EF2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15.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Chương trình này: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ngân sách,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quy trình,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Chương V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tiêu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ban hành.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ưa có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thì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2ECD2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16.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Chương trình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: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giao,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hình,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này, cơ quan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 do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(01)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 nhưng không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8192D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Chi phí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 (bao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m: chi phí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sát, đánh giá; thà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giá trong phương án mua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tư, hàng hóa,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tính trong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ch, phương án,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mô hình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kinh phí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cơ quan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hình, không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quá 5%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kinh phí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ch, phương án, mô hình.</w:t>
      </w:r>
    </w:p>
    <w:p w14:paraId="39EBCA2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17.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Ngân sách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104/2026/NĐ-CP và các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25B717E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tư, hàng hóa,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tin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có) và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7C1CDBA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duy tu,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công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7A243EC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c)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có),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ch: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công,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và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B887A4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mua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liên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theo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theo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theo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thù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358/2025/NĐ-CP;</w:t>
      </w:r>
    </w:p>
    <w:p w14:paraId="1DC71177" w14:textId="66900052" w:rsidR="00CB30EB" w:rsidRPr="00C13B1D" w:rsidRDefault="00893B0E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) Các nhiệm vụ cần thiết khác: Thực hiện theo quy định của pháp luật về ngân sách nhà nước và pháp luật có liên quan.</w:t>
      </w:r>
    </w:p>
    <w:p w14:paraId="78F5D3C0" w14:textId="77777777" w:rsidR="00CB30EB" w:rsidRDefault="001A2C98" w:rsidP="00C13B1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18.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chưa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và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này,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Chương trình và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năng cân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trung ương,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t có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liên quan.</w:t>
      </w:r>
    </w:p>
    <w:p w14:paraId="01A5B665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8FAEBA" w14:textId="77777777" w:rsid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09C95E92" w14:textId="7F53F5E9" w:rsidR="00CB30EB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A31E32">
        <w:rPr>
          <w:rFonts w:ascii="Arial" w:hAnsi="Arial" w:cs="Arial"/>
          <w:b/>
          <w:color w:val="000000" w:themeColor="text1"/>
          <w:sz w:val="20"/>
          <w:szCs w:val="20"/>
        </w:rPr>
        <w:t xml:space="preserve"> HỢP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NH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106AE76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3DB73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5.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1: Hoàn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ch theo quy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, phù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p, phát huy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vùng,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và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3AAB15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dung 01, 02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16613F54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36/2026/TT-BTC ngày 31 tháng 3 năm 2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026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chi phí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BC7374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6.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2: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kinh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nông thôn toàn di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n,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,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i, k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đô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thích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khí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49FAC3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06, 07, 09, 10, 11, 12, 13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Thương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4C9F115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0D68785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14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trì công trình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sau khi hoàn thành đưa vào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DD7D9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và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trì công trình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sau khi hoàn thành đưa vào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ng. </w:t>
      </w:r>
    </w:p>
    <w:p w14:paraId="7B28F25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thanh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65/2021/TT-BTC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chuyên ngành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tác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a, duy tu,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công trình (n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có);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104/2026/NĐ-CP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6CE5A24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7.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3: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nông thôn theo hư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sinh thái,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i, tích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 đa giá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đáp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nhu c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08FAAA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04, 05, 06, 07, 08, 09, 10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Thương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6292A44E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2EB623C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Ngoài ra, Thông tư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như sau:</w:t>
      </w:r>
    </w:p>
    <w:p w14:paraId="1C880C5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đăng ký nhãn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(sáng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dáng,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pháp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ích),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cho các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OCOP.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đa không quá 35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ng/nhãn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đăng ký khác;</w:t>
      </w:r>
    </w:p>
    <w:p w14:paraId="2A4D7D02" w14:textId="1EF75C70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b)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và bán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 theo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ng: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giao,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="00180533">
        <w:rPr>
          <w:rFonts w:ascii="Arial" w:hAnsi="Arial" w:cs="Arial"/>
          <w:color w:val="000000" w:themeColor="text1"/>
          <w:sz w:val="20"/>
          <w:szCs w:val="20"/>
        </w:rPr>
        <w:t>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phương,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năng ngân sách,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hành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do trung ương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n); cơ quan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n)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nhưng không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9C179A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c)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đánh giá, phân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niên, bao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66251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đánh giá, phân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OCOP:</w:t>
      </w:r>
    </w:p>
    <w:p w14:paraId="7FAA8AC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+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đánh giá, phân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đánh giá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thu chính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38/2025/TT-BTC;</w:t>
      </w:r>
    </w:p>
    <w:p w14:paraId="4C9B95F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+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cho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đánh giá, phân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trung ương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kinh phí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38/2025/TT-BTC;</w:t>
      </w:r>
    </w:p>
    <w:p w14:paraId="07D50744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- Chi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cho các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sao.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các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t 5 sao, 4 sao, 3 sao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15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ng/gi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i; 10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i; 8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ng/gi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i.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OCOP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(01)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sao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nâng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sao thì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thêm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hai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sao.</w:t>
      </w:r>
    </w:p>
    <w:p w14:paraId="128469B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thông,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bá du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nông thôn: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4,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5 Thông tư 12/2022/TT-BTC ngày 22 tháng 02 năm 2022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bá và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CD832D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8.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4: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ngu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và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o vi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làm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D229BF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04, 05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03C678B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70112B50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9.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5: Nâng cao ch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hành chính công,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giúp pháp lý và thúc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y bình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ẳ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DB7966B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04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67127889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4AA70EA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10.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6: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khoa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chuy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nông thôn</w:t>
      </w:r>
    </w:p>
    <w:p w14:paraId="05EA630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E4EFA3" w14:textId="7222087A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dung chi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và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265/2025/N</w:t>
      </w:r>
      <w:r w:rsidR="00CB1BC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-CP;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38/2025/TT-BKHCN; Thông tư 39/2025/TT-BKHCN.</w:t>
      </w:r>
    </w:p>
    <w:p w14:paraId="68CA049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hình thành thông qua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92041B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11.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7: Xây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môi trư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và c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 quan nông thôn sáng, xanh,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ch,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ẹ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p, an toàn và thích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bi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khí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u; tăng cư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công tác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an toàn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khu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nông thôn</w:t>
      </w:r>
    </w:p>
    <w:p w14:paraId="55870B2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04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38C313E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2EDE9A99" w14:textId="3A40DC8E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12.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8: Phát huy vai trò c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a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Vi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Nam và các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chính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trong xây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và phát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2CDD9CB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ban Trung ương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CD24770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cho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dung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 và Thông tư 337/2016/TT-BTC ngày 28/12/2016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giám sát,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ban Trung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ương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A0B728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02, 03, 04, 05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Trung ương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Nông dân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Nam,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Liên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Nam, Trung ương Đoàn Thanh niên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Chí Minh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64363D0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0FD0ED8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13.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9: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phòng, an ni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nh và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an toàn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5D35D4D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phòng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753268A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13B1D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Thông tư này.</w:t>
      </w:r>
    </w:p>
    <w:p w14:paraId="29E501B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14.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10: Nâng cao năng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c, truy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thông, giám sát, đánh giá;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khai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phong trào thi đua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nông thôn m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m nghèo b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và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517FB4DA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04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2B49F433" w14:textId="77777777" w:rsidR="00CB30EB" w:rsidRDefault="001A2C98" w:rsidP="00C13B1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5FE41272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F2A1CAC" w14:textId="77777777" w:rsidR="00CB30EB" w:rsidRP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D9ACBA7" w14:textId="37EAE1C7" w:rsidR="00CB30EB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="00A31E32">
        <w:rPr>
          <w:rFonts w:ascii="Arial" w:hAnsi="Arial" w:cs="Arial"/>
          <w:b/>
          <w:color w:val="000000" w:themeColor="text1"/>
          <w:sz w:val="20"/>
          <w:szCs w:val="20"/>
        </w:rPr>
        <w:t xml:space="preserve">HỢP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HAI</w:t>
      </w:r>
    </w:p>
    <w:p w14:paraId="03D755BB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6837EF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15.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01: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ng, hoàn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cơ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thù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ng bào dân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0DAB880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05, 06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Tôn giáo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088E3F6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5422F12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16.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2: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t,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o sinh k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nâng cao thu nh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 cho ngư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dân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5B89B7A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02, 03, 04, 05, 06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Tôn giáo,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4D58AAF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5DA378E8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17.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03: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ngu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núi</w:t>
      </w:r>
    </w:p>
    <w:p w14:paraId="6362387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1, 02, 04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Tôn giáo,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phòng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4A1C30E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368DC0D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lastRenderedPageBreak/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03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bình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và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em vùng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núi;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tình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hôn, hôn nhân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72B387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bình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và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em vùng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núi: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Trung ương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Liên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0230B72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6B7AEDF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tình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hôn, hôn nhân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t: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và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ôn giáo.</w:t>
      </w:r>
    </w:p>
    <w:p w14:paraId="660785CD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49A4F37F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18.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04: Chính sách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thù ưu tiên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,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các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còn g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 nhi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khó khăn, có khó khăn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thù</w:t>
      </w:r>
    </w:p>
    <w:p w14:paraId="581E29C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Tôn giáo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18366F1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7B4FD7F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19. 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dung thàn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h ph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05: Công tác truy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thông, tuyên truy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n;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tin, chuy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i vùng đ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ng bào dân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411CCAB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 01, 02, 03, 04,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417/QĐ-BNNMT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và Tôn giáo,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Văn hóa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ch theo phân công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417/QĐ-BNNMT.</w:t>
      </w:r>
    </w:p>
    <w:p w14:paraId="089999F0" w14:textId="77777777" w:rsidR="00CB30EB" w:rsidRDefault="001A2C98" w:rsidP="00C13B1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6F022ADD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A80892" w14:textId="77777777" w:rsidR="00C13B1D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07B33C4C" w14:textId="115DC712" w:rsidR="00CB30EB" w:rsidRDefault="001A2C98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35255BA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1CD441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20.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27076E46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ngày 31 tháng 5 năm 2026.</w:t>
      </w:r>
    </w:p>
    <w:p w14:paraId="631E30CC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55/2023/TT-BTC ngày 15 tháng 8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2021- 2025,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75/2024/TT-BTC ngày 31 tháng 10 năm 2024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55/2023/TT-BTC và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112/2025/TT-BTC ngày 28 tháng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11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55/2023/TT-BTC (sau đây g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chung là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55/2023/TT-BTC)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842E9E3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21. 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A1372E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03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2021-2025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phép kéo dài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và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ngân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ngày 31 tháng 12 năm 2026 theo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257/2025/QH15 thì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55/2023/TT-BTC và các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có liên quan cho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khi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thúc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nhưng không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và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ngân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cho phép kéo dài.</w:t>
      </w:r>
    </w:p>
    <w:p w14:paraId="372B955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không còn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còn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chi nhưng không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cho chuy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sang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Chương trình giai đo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2026 - 2030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257/2025/QH15 ngày 11 tháng 12 năm 2025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1E0CA510" w14:textId="6F3D70DA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đã ban hành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chi,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và rà soát l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không còn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p thì </w:t>
      </w:r>
      <w:r w:rsid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cho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6251FB7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u 22. T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93EA591" w14:textId="77680CAC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1. Các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cơ quan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ung ương, </w:t>
      </w:r>
      <w:r w:rsid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các cơ quan đơn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toán chi Chương trình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toán kinh phí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cơ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êu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gia và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này; báo cáo cơ quan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báo cáo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3628FB5" w14:textId="77777777" w:rsidR="00CB30EB" w:rsidRPr="00C13B1D" w:rsidRDefault="001A2C98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và tình hình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thêm cùng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ngân sách trung ương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các chương trình.</w:t>
      </w:r>
    </w:p>
    <w:p w14:paraId="672FD909" w14:textId="2387371E" w:rsidR="00CB30EB" w:rsidRPr="00C13B1D" w:rsidRDefault="001A2C98" w:rsidP="00C13B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trong quá trình tri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các chương trình có phát sinh các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thù chưa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trong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và Thông tư này;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năng ngân sách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phương theo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c năm 2025. </w:t>
      </w:r>
    </w:p>
    <w:p w14:paraId="31A616A5" w14:textId="77777777" w:rsidR="00CB30EB" w:rsidRPr="00C13B1D" w:rsidRDefault="001A2C98" w:rsidP="00C13B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trích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 khác thì áp d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ung ho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BF92C1" w14:textId="4F872FF3" w:rsidR="00CB30EB" w:rsidRDefault="001A2C98" w:rsidP="00C13B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3B1D">
        <w:rPr>
          <w:rFonts w:ascii="Arial" w:hAnsi="Arial" w:cs="Arial"/>
          <w:color w:val="000000" w:themeColor="text1"/>
          <w:sz w:val="20"/>
          <w:szCs w:val="20"/>
        </w:rPr>
        <w:t>4. Trong quá trình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13B1D">
        <w:rPr>
          <w:rFonts w:ascii="Arial" w:hAnsi="Arial" w:cs="Arial"/>
          <w:color w:val="000000" w:themeColor="text1"/>
          <w:sz w:val="20"/>
          <w:szCs w:val="20"/>
        </w:rPr>
        <w:t>t.</w:t>
      </w:r>
      <w:r w:rsidR="001D5915">
        <w:rPr>
          <w:rFonts w:ascii="Arial" w:hAnsi="Arial" w:cs="Arial"/>
          <w:color w:val="000000" w:themeColor="text1"/>
          <w:sz w:val="20"/>
          <w:szCs w:val="20"/>
        </w:rPr>
        <w:t>/.</w:t>
      </w:r>
    </w:p>
    <w:p w14:paraId="6065269D" w14:textId="77777777" w:rsidR="00C13B1D" w:rsidRPr="00C13B1D" w:rsidRDefault="00C13B1D" w:rsidP="00C13B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13B1D" w:rsidRPr="00C13B1D" w14:paraId="62CB13BF" w14:textId="77777777" w:rsidTr="00C13B1D">
        <w:tc>
          <w:tcPr>
            <w:tcW w:w="2500" w:type="pct"/>
          </w:tcPr>
          <w:p w14:paraId="119CC8BE" w14:textId="6DBB2B00" w:rsidR="00CB30EB" w:rsidRPr="00C13B1D" w:rsidRDefault="001A2C98" w:rsidP="00C13B1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3B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C13B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13B1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TW 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Văn phòng TW và 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Ban c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i, Văn phòng Ch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 KSND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 TAND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p thu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 Ban Ch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p hành TW Đ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TW c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đoàn th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nh, 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TP;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, S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TC, KBNN các t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TP;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 và Qu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 x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vi ph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m hành chính (B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pháp);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 c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 Chính ph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, 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Lưu: VT, KTN (300b). </w:t>
            </w:r>
          </w:p>
        </w:tc>
        <w:tc>
          <w:tcPr>
            <w:tcW w:w="2500" w:type="pct"/>
          </w:tcPr>
          <w:p w14:paraId="46CDDE04" w14:textId="77777777" w:rsidR="00CB30EB" w:rsidRPr="00C13B1D" w:rsidRDefault="001A2C98" w:rsidP="00C13B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B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Bích Ng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C13B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23C16D7D" w14:textId="77777777" w:rsidR="005C1056" w:rsidRPr="00C13B1D" w:rsidRDefault="005C1056" w:rsidP="00C13B1D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C1056" w:rsidRPr="00C13B1D" w:rsidSect="00C13B1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C9789" w14:textId="77777777" w:rsidR="001A2C98" w:rsidRDefault="001A2C98">
      <w:pPr>
        <w:spacing w:after="0" w:line="240" w:lineRule="auto"/>
      </w:pPr>
      <w:r>
        <w:separator/>
      </w:r>
    </w:p>
  </w:endnote>
  <w:endnote w:type="continuationSeparator" w:id="0">
    <w:p w14:paraId="38608927" w14:textId="77777777" w:rsidR="001A2C98" w:rsidRDefault="001A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B4CE" w14:textId="77777777" w:rsidR="001A2C98" w:rsidRDefault="001A2C98">
      <w:pPr>
        <w:spacing w:after="0" w:line="240" w:lineRule="auto"/>
      </w:pPr>
      <w:r>
        <w:separator/>
      </w:r>
    </w:p>
  </w:footnote>
  <w:footnote w:type="continuationSeparator" w:id="0">
    <w:p w14:paraId="44199497" w14:textId="77777777" w:rsidR="001A2C98" w:rsidRDefault="001A2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EB"/>
    <w:rsid w:val="000744D1"/>
    <w:rsid w:val="000F73CB"/>
    <w:rsid w:val="00180533"/>
    <w:rsid w:val="001A2C98"/>
    <w:rsid w:val="001D5915"/>
    <w:rsid w:val="003D741F"/>
    <w:rsid w:val="00424B23"/>
    <w:rsid w:val="00492641"/>
    <w:rsid w:val="005A5CC1"/>
    <w:rsid w:val="005C1056"/>
    <w:rsid w:val="006B7DE3"/>
    <w:rsid w:val="00852D55"/>
    <w:rsid w:val="00893B0E"/>
    <w:rsid w:val="009070E9"/>
    <w:rsid w:val="009334D5"/>
    <w:rsid w:val="009D3134"/>
    <w:rsid w:val="00A31E32"/>
    <w:rsid w:val="00A66403"/>
    <w:rsid w:val="00B07CB6"/>
    <w:rsid w:val="00C13B1D"/>
    <w:rsid w:val="00C2789F"/>
    <w:rsid w:val="00CB1BC9"/>
    <w:rsid w:val="00CB30EB"/>
    <w:rsid w:val="00DD23D5"/>
    <w:rsid w:val="00E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9650"/>
  <w15:docId w15:val="{28BB7597-523D-4FAA-91C3-BDA60E72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1D"/>
  </w:style>
  <w:style w:type="paragraph" w:styleId="Footer">
    <w:name w:val="footer"/>
    <w:basedOn w:val="Normal"/>
    <w:link w:val="FooterChar"/>
    <w:uiPriority w:val="99"/>
    <w:unhideWhenUsed/>
    <w:rsid w:val="00C1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6341</Words>
  <Characters>36146</Characters>
  <Application>Microsoft Office Word</Application>
  <DocSecurity>0</DocSecurity>
  <Lines>301</Lines>
  <Paragraphs>84</Paragraphs>
  <ScaleCrop>false</ScaleCrop>
  <Company/>
  <LinksUpToDate>false</LinksUpToDate>
  <CharactersWithSpaces>42403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20</cp:revision>
  <dcterms:created xsi:type="dcterms:W3CDTF">2026-06-09T09:30:00Z</dcterms:created>
  <dcterms:modified xsi:type="dcterms:W3CDTF">2026-06-10T03:10:00Z</dcterms:modified>
</cp:coreProperties>
</file>