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4898"/>
      </w:tblGrid>
      <w:tr w:rsidR="004D646E" w:rsidRPr="004D646E" w:rsidTr="006D53EC">
        <w:tc>
          <w:tcPr>
            <w:tcW w:w="41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3EC" w:rsidRPr="004D646E" w:rsidRDefault="006D53EC" w:rsidP="006D53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BỘ TÀI CHÍNH</w:t>
            </w:r>
          </w:p>
          <w:p w:rsidR="006D53EC" w:rsidRPr="004D646E" w:rsidRDefault="006D53EC" w:rsidP="006D53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3EC" w:rsidRPr="004D646E" w:rsidRDefault="006D53EC" w:rsidP="006D53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4D646E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</w:tc>
      </w:tr>
      <w:tr w:rsidR="004D646E" w:rsidRPr="004D646E" w:rsidTr="006D53E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3EC" w:rsidRPr="004D646E" w:rsidRDefault="006D53EC" w:rsidP="006D53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25/2024/TT-BTC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3EC" w:rsidRPr="004D646E" w:rsidRDefault="006D53EC" w:rsidP="006D53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Hà Nội, ngày 23 tháng 4 năm 2024</w:t>
            </w:r>
          </w:p>
        </w:tc>
      </w:tr>
    </w:tbl>
    <w:p w:rsidR="006D53EC" w:rsidRPr="004D646E" w:rsidRDefault="006D53EC" w:rsidP="006D53EC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6D53EC" w:rsidRPr="004D646E" w:rsidRDefault="006D53EC" w:rsidP="006D53EC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5321B1" w:rsidRPr="004D646E" w:rsidRDefault="007939EC" w:rsidP="006D53EC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</w:p>
    <w:p w:rsidR="005321B1" w:rsidRPr="004D646E" w:rsidRDefault="007939EC" w:rsidP="006D53EC">
      <w:pPr>
        <w:pStyle w:val="BodyText"/>
        <w:spacing w:after="0"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bỏ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số 83/2014/TT-BTC ngày 26 tháng 6 năm 2014 của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>Bộ t</w:t>
      </w: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rưởng Bộ Tài chính hướng dẫn thự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c hiện thuế giá trị gia tăng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br/>
        <w:t xml:space="preserve">theo Danh mục hàng hóa </w:t>
      </w: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nhập khẩu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Việt Nam</w:t>
      </w:r>
    </w:p>
    <w:p w:rsidR="006D53EC" w:rsidRPr="004D646E" w:rsidRDefault="006D53EC" w:rsidP="006D53EC">
      <w:pPr>
        <w:pStyle w:val="BodyText"/>
        <w:spacing w:after="0" w:line="240" w:lineRule="auto"/>
        <w:ind w:firstLine="0"/>
        <w:jc w:val="center"/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</w:rPr>
      </w:pPr>
      <w:r w:rsidRPr="004D646E"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</w:rPr>
        <w:t>__________________</w:t>
      </w:r>
    </w:p>
    <w:p w:rsidR="006D53EC" w:rsidRPr="004D646E" w:rsidRDefault="006D53EC" w:rsidP="006D53EC">
      <w:pPr>
        <w:pStyle w:val="BodyText"/>
        <w:spacing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5321B1" w:rsidRPr="004D646E" w:rsidRDefault="006D53EC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color w:val="000000" w:themeColor="text1"/>
          <w:sz w:val="20"/>
          <w:szCs w:val="20"/>
        </w:rPr>
        <w:t>Că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n cứ Luật Ban hành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quy phạm pháp luật ngày 22 tháng 6 năm 2015; Luật 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sửa đổi</w:t>
      </w:r>
      <w:r w:rsidR="00C370F7" w:rsidRPr="004D646E">
        <w:rPr>
          <w:rFonts w:ascii="Arial" w:hAnsi="Arial" w:cs="Arial"/>
          <w:color w:val="000000" w:themeColor="text1"/>
          <w:sz w:val="20"/>
          <w:szCs w:val="20"/>
        </w:rPr>
        <w:t>,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một 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số điều</w:t>
      </w:r>
      <w:r w:rsidR="00D730E4" w:rsidRPr="004D646E">
        <w:rPr>
          <w:rFonts w:ascii="Arial" w:hAnsi="Arial" w:cs="Arial"/>
          <w:color w:val="000000" w:themeColor="text1"/>
          <w:sz w:val="20"/>
          <w:szCs w:val="20"/>
        </w:rPr>
        <w:t xml:space="preserve"> của Luật Ban hành văn bả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n quy phạm pháp luật ngày 18 tháng 6 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>năm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2020;</w:t>
      </w:r>
    </w:p>
    <w:p w:rsidR="005321B1" w:rsidRPr="004D646E" w:rsidRDefault="00C97493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Căn cứ Luật thuế giá 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>trị gia tă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ng ngày 03 tháng 6 năm 2008; Luật 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sửa đổi, bổ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 xml:space="preserve"> sung một số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điều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 xml:space="preserve"> Luật thuế giá trị gia tăng ngày 1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9 tháng 6 năm 2013; Luật 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sửa đổi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một 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số điều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 xml:space="preserve"> các luật về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thuế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ngày 26 tháng 11 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>năm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2014 và Luật 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sửa đổi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một 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số điều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Luật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C370F7" w:rsidRPr="004D646E">
        <w:rPr>
          <w:rFonts w:ascii="Arial" w:hAnsi="Arial" w:cs="Arial"/>
          <w:color w:val="000000" w:themeColor="text1"/>
          <w:sz w:val="20"/>
          <w:szCs w:val="20"/>
        </w:rPr>
        <w:t xml:space="preserve"> giá trị gia tăng,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Luật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 xml:space="preserve"> tiêu thụ đặc b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>iệt và Luật quả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thuế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ngày 06 tháng 4 năm 2016;</w:t>
      </w:r>
    </w:p>
    <w:p w:rsidR="005321B1" w:rsidRPr="004D646E" w:rsidRDefault="00C97493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color w:val="000000" w:themeColor="text1"/>
          <w:sz w:val="20"/>
          <w:szCs w:val="20"/>
        </w:rPr>
        <w:t>Căn cứ Nghị định số 34/2016/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NĐ-CP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ngày 14 tháng 5 năm 2016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>ính phủ quy định chi tiết một số điề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u và biện pháp thi hành Luật Ban hành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quy phạm pháp luật;</w:t>
      </w:r>
    </w:p>
    <w:p w:rsidR="005321B1" w:rsidRPr="004D646E" w:rsidRDefault="006D53EC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color w:val="000000" w:themeColor="text1"/>
          <w:sz w:val="20"/>
          <w:szCs w:val="20"/>
        </w:rPr>
        <w:t>Că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>n cứ Nghị định số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154/2020/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 xml:space="preserve"> ngày 31 thá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ng 12 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>năm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2020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sửa đổi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bổ sung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 xml:space="preserve"> một số điề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Nghị định 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>số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34/2016/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ngày 14 tháng 5 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>năm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2016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 xml:space="preserve"> quy định chi tiế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t một 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>số điều</w:t>
      </w:r>
      <w:r w:rsidR="00C370F7" w:rsidRPr="004D646E">
        <w:rPr>
          <w:rFonts w:ascii="Arial" w:hAnsi="Arial" w:cs="Arial"/>
          <w:color w:val="000000" w:themeColor="text1"/>
          <w:sz w:val="20"/>
          <w:szCs w:val="20"/>
        </w:rPr>
        <w:t xml:space="preserve"> và b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>iện pháp thi hành Luật B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an hành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văn bản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quy phạm pháp luật;</w:t>
      </w:r>
    </w:p>
    <w:p w:rsidR="005321B1" w:rsidRPr="004D646E" w:rsidRDefault="00484DAD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color w:val="000000" w:themeColor="text1"/>
          <w:sz w:val="20"/>
          <w:szCs w:val="20"/>
        </w:rPr>
        <w:t>Căn cứ Nghị định số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 xml:space="preserve"> 14/2023/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NĐ-CP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 xml:space="preserve"> ngày 20 tháng 4 nă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>m 202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3 của Chính phủ quy định chức năng, nhiệm vụ, quyền hạn và cơ cấu tổ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chức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 Bộ Tài chính;</w:t>
      </w:r>
    </w:p>
    <w:p w:rsidR="005321B1" w:rsidRPr="004D646E" w:rsidRDefault="00484DAD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color w:val="000000" w:themeColor="text1"/>
          <w:sz w:val="20"/>
          <w:szCs w:val="20"/>
        </w:rPr>
        <w:t>Theo đề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 xml:space="preserve"> nghị củ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a Cục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 xml:space="preserve"> Cục Quả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 xml:space="preserve">n lý, giám sát chính sách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C97493" w:rsidRPr="004D646E">
        <w:rPr>
          <w:rFonts w:ascii="Arial" w:hAnsi="Arial" w:cs="Arial"/>
          <w:color w:val="000000" w:themeColor="text1"/>
          <w:sz w:val="20"/>
          <w:szCs w:val="20"/>
        </w:rPr>
        <w:t>, phí và lệ phí;</w:t>
      </w:r>
    </w:p>
    <w:p w:rsidR="005321B1" w:rsidRPr="004D646E" w:rsidRDefault="00C97493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Bộ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4DAD" w:rsidRPr="004D646E">
        <w:rPr>
          <w:rFonts w:ascii="Arial" w:hAnsi="Arial" w:cs="Arial"/>
          <w:color w:val="000000" w:themeColor="text1"/>
          <w:sz w:val="20"/>
          <w:szCs w:val="20"/>
        </w:rPr>
        <w:t>Bộ Tài chính ban hành Thông tư bãi bỏ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Thông tư </w:t>
      </w:r>
      <w:r w:rsidR="00903260" w:rsidRPr="004D646E">
        <w:rPr>
          <w:rFonts w:ascii="Arial" w:hAnsi="Arial" w:cs="Arial"/>
          <w:color w:val="000000" w:themeColor="text1"/>
          <w:sz w:val="20"/>
          <w:szCs w:val="20"/>
        </w:rPr>
        <w:t>số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83/2014/TT-BTC n</w:t>
      </w:r>
      <w:r w:rsidR="006D53EC" w:rsidRPr="004D646E">
        <w:rPr>
          <w:rFonts w:ascii="Arial" w:hAnsi="Arial" w:cs="Arial"/>
          <w:color w:val="000000" w:themeColor="text1"/>
          <w:sz w:val="20"/>
          <w:szCs w:val="20"/>
        </w:rPr>
        <w:t>gày 26 tháng 6 năm 2014 hướng dẫn thực hiện thuế giá trị gia tă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ng theo Danh mục hàng hóa </w:t>
      </w:r>
      <w:r w:rsidR="007939EC" w:rsidRPr="004D646E">
        <w:rPr>
          <w:rFonts w:ascii="Arial" w:hAnsi="Arial" w:cs="Arial"/>
          <w:color w:val="000000" w:themeColor="text1"/>
          <w:sz w:val="20"/>
          <w:szCs w:val="20"/>
        </w:rPr>
        <w:t>nhập khẩu</w:t>
      </w:r>
      <w:r w:rsidRPr="004D646E">
        <w:rPr>
          <w:rFonts w:ascii="Arial" w:hAnsi="Arial" w:cs="Arial"/>
          <w:color w:val="000000" w:themeColor="text1"/>
          <w:sz w:val="20"/>
          <w:szCs w:val="20"/>
        </w:rPr>
        <w:t xml:space="preserve"> Việt Nam.</w:t>
      </w:r>
    </w:p>
    <w:p w:rsidR="005321B1" w:rsidRPr="004D646E" w:rsidRDefault="006D53EC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</w:t>
      </w:r>
      <w:r w:rsidR="00C370F7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1. Bãi bỏ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toàn bộ </w:t>
      </w:r>
      <w:r w:rsidR="007939EC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</w:p>
    <w:p w:rsidR="005321B1" w:rsidRPr="004D646E" w:rsidRDefault="00484DAD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Bãi bỏ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toàn bộ Thông tư số 83/2014/TT-BTC ngày 26 tháng 6 năm 2014 </w:t>
      </w:r>
      <w:r w:rsidR="007939EC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của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</w:t>
      </w:r>
      <w:r w:rsidR="007939EC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trưởng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Tài chính hướng </w:t>
      </w:r>
      <w:r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dẫn thuế giá trị gia tăng theo Danh mục hàng hóa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="007939EC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nhập khẩu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Việt Nam.</w:t>
      </w:r>
    </w:p>
    <w:p w:rsidR="005321B1" w:rsidRPr="004D646E" w:rsidRDefault="006D53EC" w:rsidP="006D53EC">
      <w:pPr>
        <w:pStyle w:val="BodyText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2. </w:t>
      </w:r>
      <w:r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</w:t>
      </w:r>
      <w:r w:rsidR="00C97493" w:rsidRPr="004D646E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khoản thi hành</w:t>
      </w:r>
    </w:p>
    <w:p w:rsidR="006D53EC" w:rsidRPr="004D646E" w:rsidRDefault="006D53EC" w:rsidP="006D53EC">
      <w:pPr>
        <w:pStyle w:val="BodyText"/>
        <w:tabs>
          <w:tab w:val="left" w:pos="860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1. 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này có hiệu lực thi hành kể từ ngày 08 tháng 6 năm 2024.</w:t>
      </w:r>
    </w:p>
    <w:p w:rsidR="005321B1" w:rsidRPr="004D646E" w:rsidRDefault="006D53EC" w:rsidP="006D53EC">
      <w:pPr>
        <w:pStyle w:val="BodyText"/>
        <w:tabs>
          <w:tab w:val="left" w:pos="376"/>
        </w:tabs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1"/>
      <w:bookmarkEnd w:id="1"/>
      <w:r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2. </w:t>
      </w:r>
      <w:r w:rsidR="00903260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Thủ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</w:t>
      </w:r>
      <w:r w:rsidR="007939EC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trưởng</w:t>
      </w:r>
      <w:r w:rsidR="00484DAD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các đ</w:t>
      </w:r>
      <w:r w:rsidR="00C97493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ơn vị thuộc Bộ và các cơ quan có liên quan chịu trách nhiệm thi hành Thông tư này</w:t>
      </w:r>
      <w:r w:rsidR="00C370F7" w:rsidRPr="004D646E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./.</w:t>
      </w:r>
    </w:p>
    <w:p w:rsidR="006D53EC" w:rsidRPr="004D646E" w:rsidRDefault="006D53EC" w:rsidP="006D53EC">
      <w:pPr>
        <w:pStyle w:val="Bodytext20"/>
        <w:tabs>
          <w:tab w:val="left" w:pos="250"/>
        </w:tabs>
        <w:spacing w:line="240" w:lineRule="auto"/>
        <w:rPr>
          <w:rFonts w:ascii="Arial" w:hAnsi="Arial" w:cs="Arial"/>
          <w:color w:val="000000" w:themeColor="text1"/>
        </w:rPr>
      </w:pPr>
      <w:bookmarkStart w:id="2" w:name="bookmark2"/>
      <w:bookmarkEnd w:id="2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3624"/>
      </w:tblGrid>
      <w:tr w:rsidR="004D646E" w:rsidRPr="004D646E" w:rsidTr="00754C2D">
        <w:tc>
          <w:tcPr>
            <w:tcW w:w="299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3EC" w:rsidRPr="004D646E" w:rsidRDefault="006D53EC" w:rsidP="00754C2D">
            <w:pPr>
              <w:pStyle w:val="BodyText"/>
              <w:spacing w:after="0" w:line="240" w:lineRule="auto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Nơi nhận: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Ban Bí thư Trung ương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Đảng</w:t>
            </w:r>
            <w:r w:rsidRPr="004D646E">
              <w:rPr>
                <w:rFonts w:ascii="Arial" w:hAnsi="Arial" w:cs="Arial"/>
                <w:color w:val="000000" w:themeColor="text1"/>
              </w:rPr>
              <w:t>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Thủ tướng, các Phó Thủ tướng Chính phủ</w:t>
            </w:r>
            <w:r w:rsidRPr="004D646E">
              <w:rPr>
                <w:rFonts w:ascii="Arial" w:hAnsi="Arial" w:cs="Arial"/>
                <w:color w:val="000000" w:themeColor="text1"/>
              </w:rPr>
              <w:t>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Vân phòng Trung ương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Đảng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và các Ban của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 xml:space="preserve"> Đả</w:t>
            </w:r>
            <w:r w:rsidRPr="004D646E">
              <w:rPr>
                <w:rFonts w:ascii="Arial" w:hAnsi="Arial" w:cs="Arial"/>
                <w:color w:val="000000" w:themeColor="text1"/>
              </w:rPr>
              <w:t>ng;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>- Văn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 xml:space="preserve"> phòng Tổ</w:t>
            </w:r>
            <w:r w:rsidRPr="004D646E">
              <w:rPr>
                <w:rFonts w:ascii="Arial" w:hAnsi="Arial" w:cs="Arial"/>
                <w:color w:val="000000" w:themeColor="text1"/>
              </w:rPr>
              <w:t>ng Bí thư;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Văn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 xml:space="preserve"> phòng Quốc hội,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 xml:space="preserve"> Hội đồ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>ng dân t</w:t>
            </w:r>
            <w:r w:rsidRPr="004D646E">
              <w:rPr>
                <w:rFonts w:ascii="Arial" w:hAnsi="Arial" w:cs="Arial"/>
                <w:color w:val="000000" w:themeColor="text1"/>
              </w:rPr>
              <w:t>ộc;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Ủ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>y ban Tài chính,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Ngân sách;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Văn phòng Chủ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tịch nước;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>- Văn phòng Chính phủ;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Viện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Kiểm</w:t>
            </w:r>
            <w:r w:rsidR="00484DAD" w:rsidRPr="004D646E">
              <w:rPr>
                <w:rFonts w:ascii="Arial" w:hAnsi="Arial" w:cs="Arial"/>
                <w:color w:val="000000" w:themeColor="text1"/>
              </w:rPr>
              <w:t xml:space="preserve"> sát nhâ</w:t>
            </w:r>
            <w:r w:rsidRPr="004D646E">
              <w:rPr>
                <w:rFonts w:ascii="Arial" w:hAnsi="Arial" w:cs="Arial"/>
                <w:color w:val="000000" w:themeColor="text1"/>
              </w:rPr>
              <w:t>n dân tối cao;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484DAD" w:rsidRPr="004D646E">
              <w:rPr>
                <w:rFonts w:ascii="Arial" w:hAnsi="Arial" w:cs="Arial"/>
                <w:color w:val="000000" w:themeColor="text1"/>
              </w:rPr>
              <w:t>Tòa án nhân dân tố</w:t>
            </w:r>
            <w:r w:rsidRPr="004D646E">
              <w:rPr>
                <w:rFonts w:ascii="Arial" w:hAnsi="Arial" w:cs="Arial"/>
                <w:color w:val="000000" w:themeColor="text1"/>
              </w:rPr>
              <w:t>i cao;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Kiểm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toán nhà nước;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>Các Bộ, cơ quan ngang Bộ,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cơ quan thuộc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Chính phủ</w:t>
            </w:r>
            <w:r w:rsidRPr="004D646E">
              <w:rPr>
                <w:rFonts w:ascii="Arial" w:hAnsi="Arial" w:cs="Arial"/>
                <w:color w:val="000000" w:themeColor="text1"/>
              </w:rPr>
              <w:t>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>- Cơ quan Trung ương của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 xml:space="preserve"> các Hội,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 xml:space="preserve"> Đoàn thể</w:t>
            </w:r>
            <w:r w:rsidRPr="004D646E">
              <w:rPr>
                <w:rFonts w:ascii="Arial" w:hAnsi="Arial" w:cs="Arial"/>
                <w:color w:val="000000" w:themeColor="text1"/>
              </w:rPr>
              <w:t>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HĐ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>ND,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UBND các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tỉnh</w:t>
            </w:r>
            <w:r w:rsidRPr="004D646E">
              <w:rPr>
                <w:rFonts w:ascii="Arial" w:hAnsi="Arial" w:cs="Arial"/>
                <w:color w:val="000000" w:themeColor="text1"/>
              </w:rPr>
              <w:t>, thành phố trực thuộc TW;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Cục Thuế, Cục Hả</w:t>
            </w:r>
            <w:r w:rsidRPr="004D646E">
              <w:rPr>
                <w:rFonts w:ascii="Arial" w:hAnsi="Arial" w:cs="Arial"/>
                <w:color w:val="000000" w:themeColor="text1"/>
              </w:rPr>
              <w:t>i q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>uan,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Sở Tài chính, Kho bạc Nhà nước các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tỉnh</w:t>
            </w:r>
            <w:r w:rsidRPr="004D646E">
              <w:rPr>
                <w:rFonts w:ascii="Arial" w:hAnsi="Arial" w:cs="Arial"/>
                <w:color w:val="000000" w:themeColor="text1"/>
              </w:rPr>
              <w:t>, thành phố trực thuộc TW;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Cục Kiể</w:t>
            </w:r>
            <w:bookmarkStart w:id="3" w:name="_GoBack"/>
            <w:bookmarkEnd w:id="3"/>
            <w:r w:rsidR="00903260" w:rsidRPr="004D646E">
              <w:rPr>
                <w:rFonts w:ascii="Arial" w:hAnsi="Arial" w:cs="Arial"/>
                <w:color w:val="000000" w:themeColor="text1"/>
              </w:rPr>
              <w:t>m tra văn bả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>n quy phạm pháp luật,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Bộ Tư pháp;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lastRenderedPageBreak/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Công bá</w:t>
            </w:r>
            <w:r w:rsidRPr="004D646E">
              <w:rPr>
                <w:rFonts w:ascii="Arial" w:hAnsi="Arial" w:cs="Arial"/>
                <w:color w:val="000000" w:themeColor="text1"/>
              </w:rPr>
              <w:t>o;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Cổng thông tin điện t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ử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Chính phủ</w:t>
            </w:r>
            <w:r w:rsidRPr="004D646E">
              <w:rPr>
                <w:rFonts w:ascii="Arial" w:hAnsi="Arial" w:cs="Arial"/>
                <w:color w:val="000000" w:themeColor="text1"/>
              </w:rPr>
              <w:t>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484DAD" w:rsidRPr="004D646E">
              <w:rPr>
                <w:rFonts w:ascii="Arial" w:hAnsi="Arial" w:cs="Arial"/>
                <w:color w:val="000000" w:themeColor="text1"/>
              </w:rPr>
              <w:t>Cổng thông tin đ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iện tử</w:t>
            </w:r>
            <w:r w:rsidRPr="004D646E">
              <w:rPr>
                <w:rFonts w:ascii="Arial" w:hAnsi="Arial" w:cs="Arial"/>
                <w:color w:val="000000" w:themeColor="text1"/>
              </w:rPr>
              <w:t xml:space="preserve"> Bộ Tài chính;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903260" w:rsidRPr="004D646E">
              <w:rPr>
                <w:rFonts w:ascii="Arial" w:hAnsi="Arial" w:cs="Arial"/>
                <w:color w:val="000000" w:themeColor="text1"/>
              </w:rPr>
              <w:t>Các đơn vị thuộc Bộ Tài chí</w:t>
            </w:r>
            <w:r w:rsidRPr="004D646E">
              <w:rPr>
                <w:rFonts w:ascii="Arial" w:hAnsi="Arial" w:cs="Arial"/>
                <w:color w:val="000000" w:themeColor="text1"/>
              </w:rPr>
              <w:t>nh;</w:t>
            </w:r>
          </w:p>
          <w:p w:rsidR="006D53EC" w:rsidRPr="004D646E" w:rsidRDefault="006D53EC" w:rsidP="006D53EC">
            <w:pPr>
              <w:pStyle w:val="Bodytext20"/>
              <w:tabs>
                <w:tab w:val="left" w:pos="250"/>
              </w:tabs>
              <w:spacing w:line="240" w:lineRule="auto"/>
              <w:rPr>
                <w:rFonts w:ascii="Arial" w:hAnsi="Arial" w:cs="Arial"/>
                <w:color w:val="000000" w:themeColor="text1"/>
              </w:rPr>
            </w:pPr>
            <w:r w:rsidRPr="004D646E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AB0AFB" w:rsidRPr="004D646E">
              <w:rPr>
                <w:rFonts w:ascii="Arial" w:hAnsi="Arial" w:cs="Arial"/>
                <w:color w:val="000000" w:themeColor="text1"/>
              </w:rPr>
              <w:t>Lưu: VT,</w:t>
            </w:r>
            <w:r w:rsidR="00C370F7" w:rsidRPr="004D646E">
              <w:rPr>
                <w:rFonts w:ascii="Arial" w:hAnsi="Arial" w:cs="Arial"/>
                <w:color w:val="000000" w:themeColor="text1"/>
              </w:rPr>
              <w:t xml:space="preserve"> Cục CST (340b).</w:t>
            </w: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3EC" w:rsidRPr="004D646E" w:rsidRDefault="006D53EC" w:rsidP="00754C2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KT. BỘ TRƯỞNG</w:t>
            </w:r>
          </w:p>
          <w:p w:rsidR="006D53EC" w:rsidRPr="004D646E" w:rsidRDefault="006D53EC" w:rsidP="00754C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THỨ TRƯỞNG</w:t>
            </w:r>
          </w:p>
          <w:p w:rsidR="006C377E" w:rsidRPr="004D646E" w:rsidRDefault="006C377E" w:rsidP="006C377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C377E" w:rsidRPr="004D646E" w:rsidRDefault="006C377E" w:rsidP="006C377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D53EC" w:rsidRPr="004D646E" w:rsidRDefault="006D53EC" w:rsidP="006C377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D646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6C377E" w:rsidRPr="004D646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Cao Anh Tuấn</w:t>
            </w:r>
          </w:p>
        </w:tc>
      </w:tr>
    </w:tbl>
    <w:p w:rsidR="006D53EC" w:rsidRPr="004D646E" w:rsidRDefault="006D53EC" w:rsidP="006D53EC">
      <w:pPr>
        <w:pStyle w:val="Bodytext20"/>
        <w:tabs>
          <w:tab w:val="left" w:pos="250"/>
        </w:tabs>
        <w:spacing w:line="240" w:lineRule="auto"/>
        <w:rPr>
          <w:rFonts w:ascii="Arial" w:hAnsi="Arial" w:cs="Arial"/>
          <w:color w:val="000000" w:themeColor="text1"/>
        </w:rPr>
      </w:pPr>
    </w:p>
    <w:sectPr w:rsidR="006D53EC" w:rsidRPr="004D646E" w:rsidSect="002A49EE">
      <w:pgSz w:w="11900" w:h="16840" w:code="9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020" w:rsidRDefault="00D26020">
      <w:r>
        <w:separator/>
      </w:r>
    </w:p>
  </w:endnote>
  <w:endnote w:type="continuationSeparator" w:id="0">
    <w:p w:rsidR="00D26020" w:rsidRDefault="00D2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020" w:rsidRDefault="00D26020"/>
  </w:footnote>
  <w:footnote w:type="continuationSeparator" w:id="0">
    <w:p w:rsidR="00D26020" w:rsidRDefault="00D260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407"/>
    <w:multiLevelType w:val="multilevel"/>
    <w:tmpl w:val="50344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B08E6"/>
    <w:multiLevelType w:val="multilevel"/>
    <w:tmpl w:val="1A2AF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B1"/>
    <w:rsid w:val="002A49EE"/>
    <w:rsid w:val="00484DAD"/>
    <w:rsid w:val="004D646E"/>
    <w:rsid w:val="004F447E"/>
    <w:rsid w:val="005321B1"/>
    <w:rsid w:val="006C377E"/>
    <w:rsid w:val="006D53EC"/>
    <w:rsid w:val="007939EC"/>
    <w:rsid w:val="00903260"/>
    <w:rsid w:val="00AB0AFB"/>
    <w:rsid w:val="00B960A8"/>
    <w:rsid w:val="00C370F7"/>
    <w:rsid w:val="00C97493"/>
    <w:rsid w:val="00D26020"/>
    <w:rsid w:val="00D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1E0B20-A0C6-4C89-A02D-B4860891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00" w:line="259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"/>
    <w:link w:val="Bodytext2"/>
    <w:pPr>
      <w:spacing w:line="26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">
    <w:name w:val="Body text (3)_"/>
    <w:basedOn w:val="DefaultParagraphFont"/>
    <w:link w:val="Bodytext30"/>
    <w:rsid w:val="006D53EC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6D53EC"/>
    <w:pPr>
      <w:spacing w:after="5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4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9E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4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9E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3</cp:revision>
  <dcterms:created xsi:type="dcterms:W3CDTF">2024-04-24T02:25:00Z</dcterms:created>
  <dcterms:modified xsi:type="dcterms:W3CDTF">2024-04-24T07:41:00Z</dcterms:modified>
</cp:coreProperties>
</file>