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370"/>
        <w:gridCol w:w="5990"/>
      </w:tblGrid>
      <w:tr w:rsidR="002825E5" w:rsidRPr="00A13C91" w14:paraId="55FD4DF0" w14:textId="77777777" w:rsidTr="00CB1253">
        <w:trPr>
          <w:trHeight w:val="920"/>
        </w:trPr>
        <w:tc>
          <w:tcPr>
            <w:tcW w:w="1800" w:type="pct"/>
            <w:tcMar>
              <w:top w:w="0" w:type="dxa"/>
              <w:left w:w="108" w:type="dxa"/>
              <w:bottom w:w="0" w:type="dxa"/>
              <w:right w:w="108" w:type="dxa"/>
            </w:tcMar>
          </w:tcPr>
          <w:p w14:paraId="14E8B7E5" w14:textId="77777777" w:rsidR="002825E5" w:rsidRPr="00A13C91" w:rsidRDefault="002825E5" w:rsidP="00CB1253">
            <w:pPr>
              <w:jc w:val="center"/>
              <w:rPr>
                <w:rFonts w:ascii="Arial" w:hAnsi="Arial" w:cs="Arial"/>
                <w:color w:val="000000"/>
                <w:sz w:val="20"/>
                <w:szCs w:val="20"/>
              </w:rPr>
            </w:pPr>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3EE38FED" w14:textId="77777777" w:rsidR="002825E5" w:rsidRPr="00A13C91" w:rsidRDefault="002825E5" w:rsidP="00CB1253">
            <w:pPr>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141/2026/NĐ-CP</w:t>
            </w:r>
          </w:p>
        </w:tc>
        <w:tc>
          <w:tcPr>
            <w:tcW w:w="3200" w:type="pct"/>
            <w:tcMar>
              <w:top w:w="0" w:type="dxa"/>
              <w:left w:w="108" w:type="dxa"/>
              <w:bottom w:w="0" w:type="dxa"/>
              <w:right w:w="108" w:type="dxa"/>
            </w:tcMar>
          </w:tcPr>
          <w:p w14:paraId="3B1558BB" w14:textId="77777777" w:rsidR="002825E5" w:rsidRPr="00A13C91" w:rsidRDefault="002825E5" w:rsidP="00CB1253">
            <w:pPr>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CF9CB69" w14:textId="77777777" w:rsidR="002825E5" w:rsidRPr="00A13C91" w:rsidRDefault="002825E5" w:rsidP="002825E5">
            <w:pPr>
              <w:jc w:val="center"/>
              <w:rPr>
                <w:rFonts w:ascii="Arial" w:hAnsi="Arial" w:cs="Arial"/>
                <w:i/>
                <w:color w:val="000000"/>
                <w:sz w:val="20"/>
                <w:szCs w:val="20"/>
              </w:rPr>
            </w:pPr>
            <w:r>
              <w:rPr>
                <w:rFonts w:ascii="Arial" w:hAnsi="Arial" w:cs="Arial"/>
                <w:i/>
                <w:sz w:val="20"/>
                <w:szCs w:val="20"/>
              </w:rPr>
              <w:t>Hà Nội, ngày 29 tháng 4 năm 2026</w:t>
            </w:r>
          </w:p>
        </w:tc>
      </w:tr>
    </w:tbl>
    <w:p w14:paraId="71A3E55F" w14:textId="77777777" w:rsidR="007365C4" w:rsidRDefault="007365C4"/>
    <w:p w14:paraId="37A37103" w14:textId="77777777" w:rsidR="002825E5" w:rsidRDefault="002825E5" w:rsidP="002825E5">
      <w:pPr>
        <w:jc w:val="center"/>
      </w:pPr>
      <w:r>
        <w:rPr>
          <w:rFonts w:ascii="Arial" w:hAnsi="Arial"/>
          <w:b/>
          <w:sz w:val="20"/>
        </w:rPr>
        <w:t>NGHỊ ĐỊNH</w:t>
      </w:r>
    </w:p>
    <w:p w14:paraId="1433518A" w14:textId="77777777" w:rsidR="002825E5" w:rsidRDefault="002825E5" w:rsidP="002825E5">
      <w:pPr>
        <w:jc w:val="center"/>
        <w:rPr>
          <w:rFonts w:ascii="Arial" w:hAnsi="Arial"/>
          <w:b/>
          <w:sz w:val="20"/>
        </w:rPr>
      </w:pPr>
      <w:r>
        <w:rPr>
          <w:rFonts w:ascii="Arial" w:hAnsi="Arial"/>
          <w:b/>
          <w:sz w:val="20"/>
        </w:rPr>
        <w:t xml:space="preserve">Sửa đổi, bổ sung một số điều của Nghị định số 68/2026/NĐ-CP quy định </w:t>
      </w:r>
      <w:r>
        <w:br/>
      </w:r>
      <w:r>
        <w:rPr>
          <w:rFonts w:ascii="Arial" w:hAnsi="Arial"/>
          <w:b/>
          <w:sz w:val="20"/>
        </w:rPr>
        <w:t xml:space="preserve">về chính sách thuế đối với hộ kinh doanh, cá nhân kinh doanh và Nghị định </w:t>
      </w:r>
      <w:r>
        <w:br/>
      </w:r>
      <w:r>
        <w:rPr>
          <w:rFonts w:ascii="Arial" w:hAnsi="Arial"/>
          <w:b/>
          <w:sz w:val="20"/>
        </w:rPr>
        <w:t xml:space="preserve">số 320/2025/NĐ-CP quy định chi tiết một số điều và biện pháp để tổ chức, </w:t>
      </w:r>
      <w:r>
        <w:br/>
      </w:r>
      <w:r>
        <w:rPr>
          <w:rFonts w:ascii="Arial" w:hAnsi="Arial"/>
          <w:b/>
          <w:sz w:val="20"/>
        </w:rPr>
        <w:t>hướng dẫn thi hành Luật Thuế thu nhập doanh nghiệp</w:t>
      </w:r>
    </w:p>
    <w:p w14:paraId="0FCBDF9F" w14:textId="77777777" w:rsidR="002825E5" w:rsidRDefault="002825E5" w:rsidP="002825E5">
      <w:pPr>
        <w:jc w:val="center"/>
      </w:pPr>
    </w:p>
    <w:p w14:paraId="1B4E8AFD" w14:textId="77777777" w:rsidR="002825E5" w:rsidRDefault="002825E5" w:rsidP="002825E5">
      <w:pPr>
        <w:spacing w:after="120"/>
        <w:ind w:firstLine="720"/>
        <w:jc w:val="both"/>
      </w:pPr>
      <w:r>
        <w:rPr>
          <w:rFonts w:ascii="Arial" w:hAnsi="Arial"/>
          <w:i/>
          <w:sz w:val="20"/>
        </w:rPr>
        <w:t>Căn cứ Luật Tổ chức Chính phủ số 63/2025/QH15;</w:t>
      </w:r>
    </w:p>
    <w:p w14:paraId="2F36D68A" w14:textId="77777777" w:rsidR="002825E5" w:rsidRDefault="002825E5" w:rsidP="002825E5">
      <w:pPr>
        <w:spacing w:after="120"/>
        <w:ind w:firstLine="720"/>
        <w:jc w:val="both"/>
      </w:pPr>
      <w:r>
        <w:rPr>
          <w:rFonts w:ascii="Arial" w:hAnsi="Arial"/>
          <w:i/>
          <w:sz w:val="20"/>
        </w:rPr>
        <w:t>Căn cứ Luật Thuế thu nhập cá nhân số 109/2025/QH15;</w:t>
      </w:r>
    </w:p>
    <w:p w14:paraId="65D142AC" w14:textId="77777777" w:rsidR="002825E5" w:rsidRDefault="002825E5" w:rsidP="002825E5">
      <w:pPr>
        <w:spacing w:after="120"/>
        <w:ind w:firstLine="720"/>
        <w:jc w:val="both"/>
      </w:pPr>
      <w:r>
        <w:rPr>
          <w:rFonts w:ascii="Arial" w:hAnsi="Arial"/>
          <w:i/>
          <w:sz w:val="20"/>
        </w:rPr>
        <w:t>Căn cứ Luật Thuế giá trị gia tăng số 48/2024/QH15 được sửa đổi, bổ sung bởi Luật số 90/2025/QH15 và Luật số 149/2025/QH15;</w:t>
      </w:r>
    </w:p>
    <w:p w14:paraId="27F7B8D2" w14:textId="77777777" w:rsidR="002825E5" w:rsidRDefault="002825E5" w:rsidP="002825E5">
      <w:pPr>
        <w:spacing w:after="120"/>
        <w:ind w:firstLine="720"/>
        <w:jc w:val="both"/>
      </w:pPr>
      <w:r>
        <w:rPr>
          <w:rFonts w:ascii="Arial" w:hAnsi="Arial"/>
          <w:i/>
          <w:sz w:val="20"/>
        </w:rPr>
        <w:t>Căn cứ Luật Thuế thu nhập doanh nghiệp số 67/2025/QH15 được sửa đổi, bổ sung bởi Luật số 116/2025/QH15, Luật số 127/2025/QH15, Luật số 133/2025/QH15, Luật số 141/2025/QH15 và Luật số 143/2025/QH15;</w:t>
      </w:r>
    </w:p>
    <w:p w14:paraId="657A1F30" w14:textId="77777777" w:rsidR="002825E5" w:rsidRDefault="002825E5" w:rsidP="002825E5">
      <w:pPr>
        <w:spacing w:after="120"/>
        <w:ind w:firstLine="720"/>
        <w:jc w:val="both"/>
      </w:pPr>
      <w:r>
        <w:rPr>
          <w:rFonts w:ascii="Arial" w:hAnsi="Arial"/>
          <w:i/>
          <w:sz w:val="20"/>
        </w:rPr>
        <w:t>Căn cứ Luật Quản lý thuế số 38/2019/QH14 được sửa đổi, bổ sung bởi Luật số 56/2024/QH15;</w:t>
      </w:r>
    </w:p>
    <w:p w14:paraId="190B588B" w14:textId="77777777" w:rsidR="002825E5" w:rsidRDefault="002825E5" w:rsidP="002825E5">
      <w:pPr>
        <w:spacing w:after="120"/>
        <w:ind w:firstLine="720"/>
        <w:jc w:val="both"/>
      </w:pPr>
      <w:r>
        <w:rPr>
          <w:rFonts w:ascii="Arial" w:hAnsi="Arial"/>
          <w:i/>
          <w:sz w:val="20"/>
        </w:rPr>
        <w:t>Căn cứ Luật Quản lý thuế số 108/2025/QH15;</w:t>
      </w:r>
    </w:p>
    <w:p w14:paraId="635099BF" w14:textId="77777777" w:rsidR="002825E5" w:rsidRDefault="002825E5" w:rsidP="002825E5">
      <w:pPr>
        <w:spacing w:after="120"/>
        <w:ind w:firstLine="720"/>
        <w:jc w:val="both"/>
      </w:pPr>
      <w:r>
        <w:rPr>
          <w:rFonts w:ascii="Arial" w:hAnsi="Arial"/>
          <w:i/>
          <w:sz w:val="20"/>
        </w:rPr>
        <w:t>Căn cứ Luật sửa đổi, bổ sung một số điều của Luật Thuế thu nhập cá nhân, Luật Thuế giá trị gia tăng, Luật Thuế thu nhập doanh nghiệp và Luật Thuế tiêu thụ đặc biệt số 09/2026/QH16;</w:t>
      </w:r>
    </w:p>
    <w:p w14:paraId="262718A5" w14:textId="77777777" w:rsidR="002825E5" w:rsidRDefault="002825E5" w:rsidP="002825E5">
      <w:pPr>
        <w:spacing w:after="120"/>
        <w:ind w:firstLine="720"/>
        <w:jc w:val="both"/>
      </w:pPr>
      <w:r>
        <w:rPr>
          <w:rFonts w:ascii="Arial" w:hAnsi="Arial"/>
          <w:i/>
          <w:sz w:val="20"/>
        </w:rPr>
        <w:t>Theo đề nghị của Bộ trưởng Bộ Tài chính;</w:t>
      </w:r>
    </w:p>
    <w:p w14:paraId="44E926C4" w14:textId="77777777" w:rsidR="002825E5" w:rsidRDefault="002825E5" w:rsidP="002825E5">
      <w:pPr>
        <w:spacing w:after="120"/>
        <w:ind w:firstLine="720"/>
        <w:jc w:val="both"/>
      </w:pPr>
      <w:r>
        <w:rPr>
          <w:rFonts w:ascii="Arial" w:hAnsi="Arial"/>
          <w:i/>
          <w:sz w:val="20"/>
        </w:rPr>
        <w:t>Chính phủ ban hành Nghị định sửa đổi, bổ sung một số điều của Nghị định số 68/2026/NĐ-CP quy định về chính sách thuế đối với hộ kinh doanh, cá nhân kinh doanh và Nghị định số 320/2025/NĐ-CP quy định chi tiết một số điều và biện pháp để tổ chức, hướng dẫn thi hành Luật Thuế thu nhập doanh nghiệp.</w:t>
      </w:r>
    </w:p>
    <w:p w14:paraId="3F810937" w14:textId="77777777" w:rsidR="002825E5" w:rsidRDefault="002825E5" w:rsidP="002825E5">
      <w:pPr>
        <w:spacing w:after="120"/>
        <w:ind w:firstLine="720"/>
        <w:jc w:val="both"/>
      </w:pPr>
      <w:r>
        <w:rPr>
          <w:rFonts w:ascii="Arial" w:hAnsi="Arial"/>
          <w:b/>
          <w:sz w:val="20"/>
        </w:rPr>
        <w:t>Điều 1. Sửa đổi, bổ sung một số điều của Nghị định số 68/2026/NĐ-CP ngày 05 tháng 3 năm 2026 của Chính phủ quy định về chính sách thuế và quản lý thuế đối với hộ kinh doanh, cá nhân kinh doanh</w:t>
      </w:r>
    </w:p>
    <w:p w14:paraId="544B5EEB" w14:textId="77777777" w:rsidR="002825E5" w:rsidRDefault="002825E5" w:rsidP="002825E5">
      <w:pPr>
        <w:spacing w:after="120"/>
        <w:ind w:firstLine="720"/>
        <w:jc w:val="both"/>
      </w:pPr>
      <w:r>
        <w:rPr>
          <w:rFonts w:ascii="Arial" w:hAnsi="Arial"/>
          <w:sz w:val="20"/>
        </w:rPr>
        <w:t>1. Sửa đổi cụm từ “500 triệu đồng” thành “01 tỷ đồng” tại Điều 3, Điều 4, khoản 1 Điều 8, Điều 9, Điều 10, khoản 3 Điều 11, khoản 1 và khoản 2 Điều 12, khoản 4 Điều 17, khoản 3 Điều 18 Nghị định số 68/2026/NĐ-CP.</w:t>
      </w:r>
    </w:p>
    <w:p w14:paraId="6A853256" w14:textId="77777777" w:rsidR="002825E5" w:rsidRDefault="002825E5" w:rsidP="002825E5">
      <w:pPr>
        <w:spacing w:after="120"/>
        <w:ind w:firstLine="720"/>
        <w:jc w:val="both"/>
      </w:pPr>
      <w:r>
        <w:rPr>
          <w:rFonts w:ascii="Arial" w:hAnsi="Arial"/>
          <w:sz w:val="20"/>
        </w:rPr>
        <w:t>2. Sửa đổi, bổ sung khoản 5 Điều 8 Nghị định số 68/2026/NĐ-CP như sau:</w:t>
      </w:r>
    </w:p>
    <w:p w14:paraId="12E90CB3" w14:textId="77777777" w:rsidR="002825E5" w:rsidRDefault="002825E5" w:rsidP="002825E5">
      <w:pPr>
        <w:spacing w:after="120"/>
        <w:ind w:firstLine="720"/>
        <w:jc w:val="both"/>
      </w:pPr>
      <w:r>
        <w:rPr>
          <w:rFonts w:ascii="Arial" w:hAnsi="Arial"/>
          <w:sz w:val="20"/>
        </w:rPr>
        <w:t>"5. Sử dụng hóa đơn điện tử</w:t>
      </w:r>
    </w:p>
    <w:p w14:paraId="1198E162" w14:textId="77777777" w:rsidR="002825E5" w:rsidRDefault="002825E5" w:rsidP="002825E5">
      <w:pPr>
        <w:spacing w:after="120"/>
        <w:ind w:firstLine="720"/>
        <w:jc w:val="both"/>
      </w:pPr>
      <w:r>
        <w:rPr>
          <w:rFonts w:ascii="Arial" w:hAnsi="Arial"/>
          <w:sz w:val="20"/>
        </w:rPr>
        <w:t>a) Hộ kinh doanh, cá nhân kinh doanh có doanh thu năm trên 01 tỷ đồng thì phải áp dụng hóa đơn điện tử có mã của cơ quan thuế, hóa đơn điện tử khởi tạo từ máy tính tiền có kết nối dữ liệu với cơ quan thuế.</w:t>
      </w:r>
    </w:p>
    <w:p w14:paraId="310B227A" w14:textId="77777777" w:rsidR="002825E5" w:rsidRDefault="002825E5" w:rsidP="002825E5">
      <w:pPr>
        <w:spacing w:after="120"/>
        <w:ind w:firstLine="720"/>
        <w:jc w:val="both"/>
      </w:pPr>
      <w:r>
        <w:rPr>
          <w:rFonts w:ascii="Arial" w:hAnsi="Arial"/>
          <w:sz w:val="20"/>
        </w:rPr>
        <w:t>Trường hợp hộ kinh doanh, cá nhân kinh doanh có nhiều địa điểm kinh doanh thì sử dụng mã số thuế của hộ kinh doanh, cá nhân kinh doanh cho tất cả các cửa hàng và phải ghi rõ mã địa điểm kinh doanh trên hóa đơn;</w:t>
      </w:r>
    </w:p>
    <w:p w14:paraId="13366CCD" w14:textId="77777777" w:rsidR="002825E5" w:rsidRDefault="002825E5" w:rsidP="002825E5">
      <w:pPr>
        <w:spacing w:after="120"/>
        <w:ind w:firstLine="720"/>
        <w:jc w:val="both"/>
      </w:pPr>
      <w:r>
        <w:rPr>
          <w:rFonts w:ascii="Arial" w:hAnsi="Arial"/>
          <w:sz w:val="20"/>
        </w:rPr>
        <w:t>b) Trường hợp hộ kinh doanh, cá nhân kinh doanh có doanh thu năm từ 01 tỷ đồng trở xuống đáp ứng điều kiện và có nhu cầu sử dụng hóa đơn điện tử thì đăng ký sử dụng hóa đơn điện tử có mã của cơ quan thuế hoặc hóa đơn điện tử khởi tạo từ máy tính tiền có kết nối dữ liệu với cơ quan thuế;</w:t>
      </w:r>
    </w:p>
    <w:p w14:paraId="29F8BD14" w14:textId="77777777" w:rsidR="002825E5" w:rsidRDefault="002825E5" w:rsidP="002825E5">
      <w:pPr>
        <w:spacing w:after="120"/>
        <w:ind w:firstLine="720"/>
        <w:jc w:val="both"/>
      </w:pPr>
      <w:r>
        <w:rPr>
          <w:rFonts w:ascii="Arial" w:hAnsi="Arial"/>
          <w:sz w:val="20"/>
        </w:rPr>
        <w:t xml:space="preserve">c) Hộ kinh doanh, cá nhân kinh doanh mới ra kinh doanh tại Điều 9 Nghị định này hoặc hộ kinh doanh, cá nhân kinh doanh có doanh thu năm trước chưa trên 01 tỷ đồng (trừ trường hợp đã đăng ký sử dụng hóa đơn điện tử theo điểm b khoản này) nhưng trong năm tính thuế có doanh thu trên 01 tỷ đồng trở </w:t>
      </w:r>
      <w:r>
        <w:rPr>
          <w:rFonts w:ascii="Arial" w:hAnsi="Arial"/>
          <w:sz w:val="20"/>
        </w:rPr>
        <w:lastRenderedPageBreak/>
        <w:t>lên thì phải áp dụng hóa đơn điện tử có mã của cơ quan thuế, hóa đơn điện tử khởi tạo từ máy tính tiền có kết nối dữ liệu với cơ quan thuế. Hộ kinh doanh, cá nhân kinh doanh đăng ký sử dụng hóa đơn điện tử trong thời gian 30 ngày kể từ ngày cuối cùng của kỳ tính thuế có doanh thu lũy kế trên 01 tỷ đồng.".</w:t>
      </w:r>
    </w:p>
    <w:p w14:paraId="467A827B" w14:textId="77777777" w:rsidR="002825E5" w:rsidRDefault="002825E5" w:rsidP="002825E5">
      <w:pPr>
        <w:spacing w:after="120"/>
        <w:ind w:firstLine="720"/>
        <w:jc w:val="both"/>
      </w:pPr>
      <w:r>
        <w:rPr>
          <w:rFonts w:ascii="Arial" w:hAnsi="Arial"/>
          <w:b/>
          <w:sz w:val="20"/>
        </w:rPr>
        <w:t>Điều 2. Bổ sung khoản 15 Điều 4 Nghị định số 320/2025/NĐ-CP ngày 15 tháng 12 năm 2025 của Chính phủ quy định chi tiết một số điều và biện pháp để tổ chức, hướng dẫn thi hành Luật Thuế thu nhập doanh nghiệp</w:t>
      </w:r>
    </w:p>
    <w:p w14:paraId="64EC76D5" w14:textId="77777777" w:rsidR="002825E5" w:rsidRDefault="002825E5" w:rsidP="002825E5">
      <w:pPr>
        <w:spacing w:after="120"/>
        <w:ind w:firstLine="720"/>
        <w:jc w:val="both"/>
      </w:pPr>
      <w:r>
        <w:rPr>
          <w:rFonts w:ascii="Arial" w:hAnsi="Arial"/>
          <w:sz w:val="20"/>
        </w:rPr>
        <w:t>“15. Thu nhập của doanh nghiệp, tổ chức được thành lập theo quy định của pháp luật Việt Nam có tổng doanh thu năm từ 01 tỷ đồng trở xuống, cụ thể như sau:</w:t>
      </w:r>
    </w:p>
    <w:p w14:paraId="5E97B486" w14:textId="77777777" w:rsidR="002825E5" w:rsidRDefault="002825E5" w:rsidP="002825E5">
      <w:pPr>
        <w:spacing w:after="120"/>
        <w:ind w:firstLine="720"/>
        <w:jc w:val="both"/>
      </w:pPr>
      <w:r>
        <w:rPr>
          <w:rFonts w:ascii="Arial" w:hAnsi="Arial"/>
          <w:sz w:val="20"/>
        </w:rPr>
        <w:t>a) Tổng doanh thu năm làm căn cứ xác định doanh nghiệp thuộc đối tượng được miễn thuế thu nhập doanh nghiệp là tổng doanh thu từ hoạt động bán hàng, cung cấp dịch vụ (không bao gồm các khoản giảm trừ doanh thu), doanh thu từ hoạt động tài chính và thu nhập khác trên Phụ lục kết quả hoạt động sản xuất, kinh doanh kèm theo tờ khai quyết toán thuế thu nhập doanh nghiệp của kỳ tính thuế năm trước liền kề;</w:t>
      </w:r>
    </w:p>
    <w:p w14:paraId="7CF56F23" w14:textId="77777777" w:rsidR="002825E5" w:rsidRDefault="002825E5" w:rsidP="002825E5">
      <w:pPr>
        <w:spacing w:after="120"/>
        <w:ind w:firstLine="720"/>
        <w:jc w:val="both"/>
      </w:pPr>
      <w:r>
        <w:rPr>
          <w:rFonts w:ascii="Arial" w:hAnsi="Arial"/>
          <w:sz w:val="20"/>
        </w:rPr>
        <w:t>b) Trường hợp doanh nghiệp có thời gian hoạt động của kỳ tính thuế năm trước liền kề dưới 12 tháng thì tổng doanh thu kỳ tính thuế năm trước liền kề được xác định bằng tổng doanh thu thực tế trong kỳ tính thuế đó chia cho số tháng doanh nghiệp thực tế hoạt động sản xuất, kinh doanh trong kỳ tính thuế nhân với 12 tháng. Trường hợp doanh nghiệp mới thành lập, doanh nghiệp chuyển đổi loại hình doanh nghiệp, chuyển đổi hình thức sở hữu, hợp nhất, sáp nhập, chia, tách trong tháng bất kỳ của kỳ tính thuế năm trước liền kề thì thời gian hoạt động được tính đủ tháng;</w:t>
      </w:r>
    </w:p>
    <w:p w14:paraId="6EB59895" w14:textId="77777777" w:rsidR="002825E5" w:rsidRDefault="002825E5" w:rsidP="002825E5">
      <w:pPr>
        <w:spacing w:after="120"/>
        <w:ind w:firstLine="720"/>
        <w:jc w:val="both"/>
      </w:pPr>
      <w:r>
        <w:rPr>
          <w:rFonts w:ascii="Arial" w:hAnsi="Arial"/>
          <w:sz w:val="20"/>
        </w:rPr>
        <w:t>c) Trường hợp doanh nghiệp mới thành lập trong kỳ tính thuế và dự kiến tổng doanh thu trong kỳ tính thuế không quá 01 tỷ đồng thì doanh nghiệp không phải tạm nộp thuế thu nhập doanh nghiệp. Kết thúc kỳ tính thuế, trường hợp tổng doanh thu thực tế trong kỳ tính thuế vượt mức 01 tỷ đồng thì doanh nghiệp thực hiện kê khai, quyết toán thuế thu nhập doanh nghiệp theo quy định và không phải tính tiền chậm nộp;</w:t>
      </w:r>
    </w:p>
    <w:p w14:paraId="47AB8A88" w14:textId="77777777" w:rsidR="002825E5" w:rsidRDefault="002825E5" w:rsidP="002825E5">
      <w:pPr>
        <w:spacing w:after="120"/>
        <w:ind w:firstLine="720"/>
        <w:jc w:val="both"/>
      </w:pPr>
      <w:r>
        <w:rPr>
          <w:rFonts w:ascii="Arial" w:hAnsi="Arial"/>
          <w:sz w:val="20"/>
        </w:rPr>
        <w:t>d) Quy định miễn thuế tại khoản này không áp dụng đối với doanh nghiệp được thành lập theo quy định của pháp luật Việt Nam là công ty con hoặc công ty có quan hệ liên kết mà doanh nghiệp trong quan hệ liên kết không phải là doanh nghiệp đáp ứng điều kiện miễn thuế quy định tại khoản này.”.</w:t>
      </w:r>
    </w:p>
    <w:p w14:paraId="1AEE6DBB" w14:textId="77777777" w:rsidR="002825E5" w:rsidRDefault="002825E5" w:rsidP="002825E5">
      <w:pPr>
        <w:spacing w:after="120"/>
        <w:ind w:firstLine="720"/>
        <w:jc w:val="both"/>
      </w:pPr>
      <w:r>
        <w:rPr>
          <w:rFonts w:ascii="Arial" w:hAnsi="Arial"/>
          <w:b/>
          <w:sz w:val="20"/>
        </w:rPr>
        <w:t>Điều 3. Hiệu lực thi hành</w:t>
      </w:r>
    </w:p>
    <w:p w14:paraId="47F46F1B" w14:textId="77777777" w:rsidR="002825E5" w:rsidRDefault="002825E5" w:rsidP="002825E5">
      <w:pPr>
        <w:spacing w:after="120"/>
        <w:ind w:firstLine="720"/>
        <w:jc w:val="both"/>
      </w:pPr>
      <w:r>
        <w:rPr>
          <w:rFonts w:ascii="Arial" w:hAnsi="Arial"/>
          <w:sz w:val="20"/>
        </w:rPr>
        <w:t>Nghị định này có hiệu lực thi hành từ ngày 01 tháng 01 năm 2026.</w:t>
      </w:r>
    </w:p>
    <w:p w14:paraId="0757464A" w14:textId="77777777" w:rsidR="002825E5" w:rsidRDefault="002825E5" w:rsidP="002825E5">
      <w:pPr>
        <w:spacing w:after="120"/>
        <w:ind w:firstLine="720"/>
        <w:jc w:val="both"/>
      </w:pPr>
      <w:r>
        <w:rPr>
          <w:rFonts w:ascii="Arial" w:hAnsi="Arial"/>
          <w:b/>
          <w:sz w:val="20"/>
        </w:rPr>
        <w:t>Điều 4. Điều khoản chuyển tiếp</w:t>
      </w:r>
    </w:p>
    <w:p w14:paraId="3A303271" w14:textId="77777777" w:rsidR="002825E5" w:rsidRDefault="002825E5" w:rsidP="002825E5">
      <w:pPr>
        <w:spacing w:after="120"/>
        <w:ind w:firstLine="720"/>
        <w:jc w:val="both"/>
      </w:pPr>
      <w:r>
        <w:rPr>
          <w:rFonts w:ascii="Arial" w:hAnsi="Arial"/>
          <w:sz w:val="20"/>
        </w:rPr>
        <w:t>1. Trường hợp hộ kinh doanh, cá nhân kinh doanh tự xác định mức doanh thu năm từ hoạt động sản xuất, kinh doanh hàng hóa, dịch vụ từ 01 tỷ đồng trở xuống mà đã kê khai nộp thuế thu nhập cá nhân, thuế giá trị gia tăng theo quy định tại Nghị định số 68/2026/NĐ-CP thì được xử lý tiền thuế đã nộp theo quy định tại Điều 12 Nghị định số 68/2026/NĐ-CP.</w:t>
      </w:r>
    </w:p>
    <w:p w14:paraId="660BDD4F" w14:textId="77777777" w:rsidR="002825E5" w:rsidRDefault="002825E5" w:rsidP="002825E5">
      <w:pPr>
        <w:spacing w:after="120"/>
        <w:ind w:firstLine="720"/>
        <w:jc w:val="both"/>
      </w:pPr>
      <w:r>
        <w:rPr>
          <w:rFonts w:ascii="Arial" w:hAnsi="Arial"/>
          <w:sz w:val="20"/>
        </w:rPr>
        <w:t>2. Trường hợp doanh nghiệp đã tạm nộp thuế thu nhập doanh nghiệp quý I năm 2026 mà doanh nghiệp đáp ứng điều kiện quy định tại Điều 2 Nghị định này thì không phải tạm nộp thuế thu nhập doanh nghiệp các quý tiếp theo, được bù trừ, hoàn trả, hoàn trả kiêm bù trừ thu ngân sách theo quy định của pháp luật về quản lý thuế đối với số thuế nộp thừa.</w:t>
      </w:r>
    </w:p>
    <w:p w14:paraId="70360BBE" w14:textId="77777777" w:rsidR="002825E5" w:rsidRDefault="002825E5" w:rsidP="002825E5">
      <w:pPr>
        <w:spacing w:after="120"/>
        <w:ind w:firstLine="720"/>
        <w:jc w:val="both"/>
      </w:pPr>
      <w:r>
        <w:rPr>
          <w:rFonts w:ascii="Arial" w:hAnsi="Arial"/>
          <w:sz w:val="20"/>
        </w:rPr>
        <w:t>3. Trường hợp kỳ tính thuế năm 2025 có thời điểm kết thúc sau ngày 01 tháng 01 năm 2026 mà doanh nghiệp đáp ứng điều kiện quy định tại Điều 2 Nghị định này thì được miễn thuế thu nhập doanh nghiệp cho thời gian tính từ ngày 01 tháng 01 năm 2026 đến hết kỳ tính thuế năm 2025. số thuế thu nhập doanh nghiệp được miễn thuế của kỳ tính thuế năm 2025 quy định tại khoản này bằng tổng số thuế thu nhập doanh nghiệp phải nộp của năm 2025 chia cho 12 tháng (hoặc số tháng thực tế hoạt động của kỳ tính thuế năm 2025 đối với trường hợp doanh nghiệp thành lập mới trong năm 2025) và nhân với số tháng của kỳ tính thuế năm 2025 thuộc năm dương lịch 2026. Từ kỳ tính thuế năm 2026 thực hiện theo quy định tại Điều 2 Nghị định này.</w:t>
      </w:r>
    </w:p>
    <w:p w14:paraId="646D7560" w14:textId="77777777" w:rsidR="002825E5" w:rsidRDefault="002825E5" w:rsidP="002825E5">
      <w:pPr>
        <w:spacing w:after="120"/>
        <w:ind w:firstLine="720"/>
        <w:jc w:val="both"/>
      </w:pPr>
      <w:r>
        <w:rPr>
          <w:rFonts w:ascii="Arial" w:hAnsi="Arial"/>
          <w:b/>
          <w:sz w:val="20"/>
        </w:rPr>
        <w:t>Điều 5. Trách nhiệm thi hành</w:t>
      </w:r>
    </w:p>
    <w:p w14:paraId="563CDFBB" w14:textId="77777777" w:rsidR="002825E5" w:rsidRDefault="002825E5" w:rsidP="002825E5">
      <w:pPr>
        <w:ind w:firstLine="720"/>
        <w:jc w:val="both"/>
        <w:rPr>
          <w:rFonts w:ascii="Arial" w:hAnsi="Arial"/>
          <w:sz w:val="20"/>
        </w:rPr>
      </w:pPr>
      <w:r>
        <w:rPr>
          <w:rFonts w:ascii="Arial" w:hAnsi="Arial"/>
          <w:sz w:val="20"/>
        </w:rPr>
        <w:t>Các Bộ trưởng, Thủ trưởng cơ quan ngang Bộ, Chủ tịch Ủy ban nhân dân tỉnh, thành phố trực thuộc trung ương và các tổ chức, cá nhân có liên quan chịu trách nhiệm thi hành Nghị định này./.</w:t>
      </w:r>
    </w:p>
    <w:p w14:paraId="785FEC6F" w14:textId="77777777" w:rsidR="002825E5" w:rsidRDefault="002825E5" w:rsidP="002825E5">
      <w:pPr>
        <w:ind w:firstLine="720"/>
        <w:jc w:val="both"/>
        <w:rPr>
          <w:rFonts w:ascii="Arial" w:hAnsi="Arial"/>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2825E5" w:rsidRPr="00A13C91" w14:paraId="3D70B77D" w14:textId="77777777" w:rsidTr="00CB1253">
        <w:trPr>
          <w:tblCellSpacing w:w="0" w:type="dxa"/>
        </w:trPr>
        <w:tc>
          <w:tcPr>
            <w:tcW w:w="2500" w:type="pct"/>
            <w:shd w:val="clear" w:color="auto" w:fill="FFFFFF"/>
            <w:tcMar>
              <w:top w:w="0" w:type="dxa"/>
              <w:left w:w="108" w:type="dxa"/>
              <w:bottom w:w="0" w:type="dxa"/>
              <w:right w:w="108" w:type="dxa"/>
            </w:tcMar>
            <w:hideMark/>
          </w:tcPr>
          <w:p w14:paraId="12FE66EC" w14:textId="77777777" w:rsidR="002825E5" w:rsidRDefault="002825E5" w:rsidP="002825E5">
            <w:pPr>
              <w:rPr>
                <w:rFonts w:ascii="Arial" w:hAnsi="Arial" w:cs="Arial"/>
                <w:b/>
                <w:bCs/>
                <w:i/>
                <w:iCs/>
                <w:color w:val="000000"/>
                <w:sz w:val="20"/>
                <w:szCs w:val="20"/>
              </w:rPr>
            </w:pPr>
            <w:r w:rsidRPr="00A13C91">
              <w:rPr>
                <w:rFonts w:ascii="Arial" w:hAnsi="Arial" w:cs="Arial"/>
                <w:b/>
                <w:bCs/>
                <w:i/>
                <w:iCs/>
                <w:color w:val="000000"/>
                <w:sz w:val="20"/>
                <w:szCs w:val="20"/>
              </w:rPr>
              <w:t>Nơi nhận:</w:t>
            </w:r>
          </w:p>
          <w:p w14:paraId="44BF244E" w14:textId="77777777" w:rsidR="002825E5" w:rsidRDefault="002825E5" w:rsidP="002825E5">
            <w:pPr>
              <w:jc w:val="both"/>
            </w:pPr>
            <w:r>
              <w:rPr>
                <w:rFonts w:ascii="Arial" w:hAnsi="Arial"/>
                <w:sz w:val="20"/>
              </w:rPr>
              <w:t>- Ban Bí thư Trung ương Đảng;</w:t>
            </w:r>
          </w:p>
          <w:p w14:paraId="73E0A37E" w14:textId="77777777" w:rsidR="002825E5" w:rsidRDefault="002825E5" w:rsidP="002825E5">
            <w:pPr>
              <w:jc w:val="both"/>
            </w:pPr>
            <w:r>
              <w:rPr>
                <w:rFonts w:ascii="Arial" w:hAnsi="Arial"/>
                <w:sz w:val="20"/>
              </w:rPr>
              <w:t>- Thủ tướng, các Phó Thủ tướng Chính phủ;</w:t>
            </w:r>
          </w:p>
          <w:p w14:paraId="0BED0CD7" w14:textId="77777777" w:rsidR="002825E5" w:rsidRDefault="002825E5" w:rsidP="002825E5">
            <w:pPr>
              <w:jc w:val="both"/>
            </w:pPr>
            <w:r>
              <w:rPr>
                <w:rFonts w:ascii="Arial" w:hAnsi="Arial"/>
                <w:sz w:val="20"/>
              </w:rPr>
              <w:t>- Các bộ, cơ quan ngang bộ;</w:t>
            </w:r>
          </w:p>
          <w:p w14:paraId="20125585" w14:textId="77777777" w:rsidR="002825E5" w:rsidRDefault="002825E5" w:rsidP="002825E5">
            <w:pPr>
              <w:jc w:val="both"/>
            </w:pPr>
            <w:r>
              <w:rPr>
                <w:rFonts w:ascii="Arial" w:hAnsi="Arial"/>
                <w:sz w:val="20"/>
              </w:rPr>
              <w:t>- HĐND, UBND các tỉnh, thành phố trực thuộc trung ương;</w:t>
            </w:r>
          </w:p>
          <w:p w14:paraId="7A6798BE" w14:textId="77777777" w:rsidR="002825E5" w:rsidRDefault="002825E5" w:rsidP="002825E5">
            <w:pPr>
              <w:jc w:val="both"/>
            </w:pPr>
            <w:r>
              <w:rPr>
                <w:rFonts w:ascii="Arial" w:hAnsi="Arial"/>
                <w:sz w:val="20"/>
              </w:rPr>
              <w:t>- Văn phòng Trung ương và các Ban của Đảng;</w:t>
            </w:r>
          </w:p>
          <w:p w14:paraId="735BB186" w14:textId="77777777" w:rsidR="002825E5" w:rsidRDefault="002825E5" w:rsidP="002825E5">
            <w:pPr>
              <w:jc w:val="both"/>
            </w:pPr>
            <w:r>
              <w:rPr>
                <w:rFonts w:ascii="Arial" w:hAnsi="Arial"/>
                <w:sz w:val="20"/>
              </w:rPr>
              <w:t>- Văn phòng Tổng Bí thư;</w:t>
            </w:r>
          </w:p>
          <w:p w14:paraId="1FB64F4D" w14:textId="77777777" w:rsidR="002825E5" w:rsidRDefault="002825E5" w:rsidP="002825E5">
            <w:pPr>
              <w:jc w:val="both"/>
            </w:pPr>
            <w:r>
              <w:rPr>
                <w:rFonts w:ascii="Arial" w:hAnsi="Arial"/>
                <w:sz w:val="20"/>
              </w:rPr>
              <w:t>-Văn phòng Chủ tịch nước;</w:t>
            </w:r>
          </w:p>
          <w:p w14:paraId="300D0CEC" w14:textId="77777777" w:rsidR="002825E5" w:rsidRDefault="002825E5" w:rsidP="002825E5">
            <w:pPr>
              <w:jc w:val="both"/>
            </w:pPr>
            <w:r>
              <w:rPr>
                <w:rFonts w:ascii="Arial" w:hAnsi="Arial"/>
                <w:sz w:val="20"/>
              </w:rPr>
              <w:t>- Hội đồng Dân tộc và các ủy ban của Quốc hội;</w:t>
            </w:r>
          </w:p>
          <w:p w14:paraId="7FB58C4D" w14:textId="77777777" w:rsidR="002825E5" w:rsidRDefault="002825E5" w:rsidP="002825E5">
            <w:pPr>
              <w:jc w:val="both"/>
            </w:pPr>
            <w:r>
              <w:rPr>
                <w:rFonts w:ascii="Arial" w:hAnsi="Arial"/>
                <w:sz w:val="20"/>
              </w:rPr>
              <w:t>- Văn phòng Quốc hội;</w:t>
            </w:r>
          </w:p>
          <w:p w14:paraId="72D46C9E" w14:textId="77777777" w:rsidR="002825E5" w:rsidRDefault="002825E5" w:rsidP="002825E5">
            <w:pPr>
              <w:jc w:val="both"/>
            </w:pPr>
            <w:r>
              <w:rPr>
                <w:rFonts w:ascii="Arial" w:hAnsi="Arial"/>
                <w:sz w:val="20"/>
              </w:rPr>
              <w:t>- Tòa án nhân dân tối cao;</w:t>
            </w:r>
          </w:p>
          <w:p w14:paraId="5A57D2F9" w14:textId="77777777" w:rsidR="002825E5" w:rsidRDefault="002825E5" w:rsidP="002825E5">
            <w:pPr>
              <w:jc w:val="both"/>
            </w:pPr>
            <w:r>
              <w:rPr>
                <w:rFonts w:ascii="Arial" w:hAnsi="Arial"/>
                <w:sz w:val="20"/>
              </w:rPr>
              <w:t>- Viện kiểm sát nhân dân tối cao;</w:t>
            </w:r>
          </w:p>
          <w:p w14:paraId="764571BF" w14:textId="77777777" w:rsidR="002825E5" w:rsidRDefault="002825E5" w:rsidP="002825E5">
            <w:pPr>
              <w:jc w:val="both"/>
            </w:pPr>
            <w:r>
              <w:rPr>
                <w:rFonts w:ascii="Arial" w:hAnsi="Arial"/>
                <w:sz w:val="20"/>
              </w:rPr>
              <w:t>- Kiểm toán nhà nước;</w:t>
            </w:r>
          </w:p>
          <w:p w14:paraId="61299DAD" w14:textId="77777777" w:rsidR="002825E5" w:rsidRDefault="002825E5" w:rsidP="002825E5">
            <w:pPr>
              <w:jc w:val="both"/>
            </w:pPr>
            <w:r>
              <w:rPr>
                <w:rFonts w:ascii="Arial" w:hAnsi="Arial"/>
                <w:sz w:val="20"/>
              </w:rPr>
              <w:t>- Ngân hàng Chính sách xã hội;</w:t>
            </w:r>
          </w:p>
          <w:p w14:paraId="1492E844" w14:textId="77777777" w:rsidR="002825E5" w:rsidRDefault="002825E5" w:rsidP="002825E5">
            <w:pPr>
              <w:jc w:val="both"/>
            </w:pPr>
            <w:r>
              <w:rPr>
                <w:rFonts w:ascii="Arial" w:hAnsi="Arial"/>
                <w:sz w:val="20"/>
              </w:rPr>
              <w:t>- Ngân hàng Phát triển Việt Nam;</w:t>
            </w:r>
          </w:p>
          <w:p w14:paraId="62E53A30" w14:textId="77777777" w:rsidR="002825E5" w:rsidRDefault="002825E5" w:rsidP="002825E5">
            <w:pPr>
              <w:jc w:val="both"/>
            </w:pPr>
            <w:r>
              <w:rPr>
                <w:rFonts w:ascii="Arial" w:hAnsi="Arial"/>
                <w:sz w:val="20"/>
              </w:rPr>
              <w:t>- Ủy ban Trung ương Mặt trận Tổ quốc Việt Nam;</w:t>
            </w:r>
          </w:p>
          <w:p w14:paraId="0EF63A34" w14:textId="77777777" w:rsidR="002825E5" w:rsidRDefault="002825E5" w:rsidP="002825E5">
            <w:pPr>
              <w:jc w:val="both"/>
            </w:pPr>
            <w:r>
              <w:rPr>
                <w:rFonts w:ascii="Arial" w:hAnsi="Arial"/>
                <w:sz w:val="20"/>
              </w:rPr>
              <w:t>- Cơ quan trung ương của các tổ chức chính trị - xã hội;</w:t>
            </w:r>
          </w:p>
          <w:p w14:paraId="17238C8C" w14:textId="77777777" w:rsidR="002825E5" w:rsidRDefault="002825E5" w:rsidP="002825E5">
            <w:pPr>
              <w:jc w:val="both"/>
            </w:pPr>
            <w:r>
              <w:rPr>
                <w:rFonts w:ascii="Arial" w:hAnsi="Arial"/>
                <w:sz w:val="20"/>
              </w:rPr>
              <w:t>- VPCP: BTCN, các PCN, Trợ lý TTg, TGĐ cổng TTĐT, các Vụ, Cục, đơn vị trực thuộc, Công báo;</w:t>
            </w:r>
          </w:p>
          <w:p w14:paraId="49D39E6A" w14:textId="77777777" w:rsidR="002825E5" w:rsidRDefault="002825E5" w:rsidP="002825E5">
            <w:pPr>
              <w:jc w:val="both"/>
            </w:pPr>
            <w:r>
              <w:rPr>
                <w:rFonts w:ascii="Arial" w:hAnsi="Arial"/>
                <w:sz w:val="20"/>
              </w:rPr>
              <w:t>-Lưu: VT,KTTH( b).</w:t>
            </w:r>
          </w:p>
          <w:p w14:paraId="56713441" w14:textId="77777777" w:rsidR="002825E5" w:rsidRPr="00A13C91" w:rsidRDefault="002825E5" w:rsidP="002825E5">
            <w:pPr>
              <w:rPr>
                <w:rFonts w:ascii="Arial" w:hAnsi="Arial" w:cs="Arial"/>
                <w:color w:val="000000"/>
                <w:sz w:val="20"/>
                <w:szCs w:val="20"/>
              </w:rPr>
            </w:pPr>
            <w:r w:rsidRPr="00A13C91">
              <w:rPr>
                <w:rFonts w:ascii="Arial" w:hAnsi="Arial" w:cs="Arial"/>
                <w:b/>
                <w:bCs/>
                <w:i/>
                <w:iCs/>
                <w:color w:val="000000"/>
                <w:sz w:val="20"/>
                <w:szCs w:val="20"/>
              </w:rPr>
              <w:br/>
            </w:r>
          </w:p>
        </w:tc>
        <w:tc>
          <w:tcPr>
            <w:tcW w:w="2500" w:type="pct"/>
            <w:shd w:val="clear" w:color="auto" w:fill="FFFFFF"/>
            <w:tcMar>
              <w:top w:w="0" w:type="dxa"/>
              <w:left w:w="108" w:type="dxa"/>
              <w:bottom w:w="0" w:type="dxa"/>
              <w:right w:w="108" w:type="dxa"/>
            </w:tcMar>
            <w:hideMark/>
          </w:tcPr>
          <w:p w14:paraId="4FEE8318" w14:textId="77777777" w:rsidR="002825E5" w:rsidRDefault="002825E5" w:rsidP="002825E5">
            <w:pPr>
              <w:jc w:val="center"/>
              <w:rPr>
                <w:rFonts w:ascii="Arial" w:hAnsi="Arial"/>
                <w:b/>
                <w:sz w:val="20"/>
              </w:rPr>
            </w:pPr>
            <w:r>
              <w:rPr>
                <w:rFonts w:ascii="Arial" w:hAnsi="Arial"/>
                <w:b/>
                <w:sz w:val="20"/>
              </w:rPr>
              <w:t>TM. CHÍNH PHỦ</w:t>
            </w:r>
          </w:p>
          <w:p w14:paraId="0C2815A0" w14:textId="77777777" w:rsidR="002825E5" w:rsidRDefault="002825E5" w:rsidP="002825E5">
            <w:pPr>
              <w:jc w:val="center"/>
              <w:rPr>
                <w:rFonts w:ascii="Arial" w:hAnsi="Arial"/>
                <w:b/>
                <w:sz w:val="20"/>
              </w:rPr>
            </w:pPr>
            <w:r>
              <w:rPr>
                <w:rFonts w:ascii="Arial" w:hAnsi="Arial"/>
                <w:b/>
                <w:sz w:val="20"/>
              </w:rPr>
              <w:t>KT. THỦ TƯỚNG</w:t>
            </w:r>
          </w:p>
          <w:p w14:paraId="78D24FCC" w14:textId="77777777" w:rsidR="002825E5" w:rsidRDefault="002825E5" w:rsidP="002825E5">
            <w:pPr>
              <w:jc w:val="center"/>
              <w:rPr>
                <w:rFonts w:ascii="Arial" w:hAnsi="Arial"/>
                <w:b/>
                <w:sz w:val="20"/>
              </w:rPr>
            </w:pPr>
            <w:r>
              <w:rPr>
                <w:rFonts w:ascii="Arial" w:hAnsi="Arial"/>
                <w:b/>
                <w:sz w:val="20"/>
              </w:rPr>
              <w:t>PHÓ THỦ TƯỚNG</w:t>
            </w:r>
          </w:p>
          <w:p w14:paraId="374C398C" w14:textId="77777777" w:rsidR="002825E5" w:rsidRDefault="002825E5" w:rsidP="002825E5">
            <w:pPr>
              <w:jc w:val="center"/>
              <w:rPr>
                <w:rFonts w:ascii="Arial" w:hAnsi="Arial"/>
                <w:b/>
                <w:sz w:val="20"/>
              </w:rPr>
            </w:pPr>
          </w:p>
          <w:p w14:paraId="02489431" w14:textId="77777777" w:rsidR="002825E5" w:rsidRDefault="002825E5" w:rsidP="002825E5">
            <w:pPr>
              <w:jc w:val="center"/>
              <w:rPr>
                <w:rFonts w:ascii="Arial" w:hAnsi="Arial"/>
                <w:b/>
                <w:sz w:val="20"/>
              </w:rPr>
            </w:pPr>
          </w:p>
          <w:p w14:paraId="3569D798" w14:textId="77777777" w:rsidR="002825E5" w:rsidRDefault="002825E5" w:rsidP="002825E5">
            <w:pPr>
              <w:jc w:val="center"/>
            </w:pPr>
            <w:r>
              <w:rPr>
                <w:rFonts w:ascii="Arial" w:hAnsi="Arial"/>
                <w:b/>
                <w:sz w:val="20"/>
              </w:rPr>
              <w:t>Nguyễn Văn Thắng</w:t>
            </w:r>
          </w:p>
          <w:p w14:paraId="3880BA1D" w14:textId="77777777" w:rsidR="002825E5" w:rsidRPr="00A13C91" w:rsidRDefault="002825E5" w:rsidP="002825E5">
            <w:pPr>
              <w:jc w:val="center"/>
              <w:rPr>
                <w:rFonts w:ascii="Arial" w:hAnsi="Arial" w:cs="Arial"/>
                <w:b/>
                <w:color w:val="000000"/>
                <w:sz w:val="20"/>
                <w:szCs w:val="20"/>
              </w:rPr>
            </w:pPr>
          </w:p>
        </w:tc>
      </w:tr>
    </w:tbl>
    <w:p w14:paraId="283BFECB" w14:textId="77777777" w:rsidR="002825E5" w:rsidRDefault="002825E5" w:rsidP="002825E5">
      <w:pPr>
        <w:spacing w:after="120"/>
        <w:ind w:firstLine="720"/>
        <w:jc w:val="both"/>
      </w:pPr>
    </w:p>
    <w:p w14:paraId="20AA770F" w14:textId="77777777" w:rsidR="002825E5" w:rsidRDefault="002825E5"/>
    <w:sectPr w:rsidR="002825E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8E8A" w14:textId="77777777" w:rsidR="00881B3A" w:rsidRDefault="00881B3A" w:rsidP="001C7FE3">
      <w:r>
        <w:separator/>
      </w:r>
    </w:p>
  </w:endnote>
  <w:endnote w:type="continuationSeparator" w:id="0">
    <w:p w14:paraId="02C086CF" w14:textId="77777777" w:rsidR="00881B3A" w:rsidRDefault="00881B3A" w:rsidP="001C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29FC" w14:textId="77777777" w:rsidR="001C7FE3" w:rsidRDefault="001C7FE3">
    <w:pPr>
      <w:pStyle w:val="Footer"/>
    </w:pPr>
    <w:r w:rsidRPr="00902A6A">
      <w:rPr>
        <w:noProof/>
      </w:rPr>
      <w:drawing>
        <wp:inline distT="0" distB="0" distL="0" distR="0" wp14:anchorId="58B0A7FB" wp14:editId="0C291BCF">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7421" w14:textId="77777777" w:rsidR="00881B3A" w:rsidRDefault="00881B3A" w:rsidP="001C7FE3">
      <w:r>
        <w:separator/>
      </w:r>
    </w:p>
  </w:footnote>
  <w:footnote w:type="continuationSeparator" w:id="0">
    <w:p w14:paraId="2A9FE71A" w14:textId="77777777" w:rsidR="00881B3A" w:rsidRDefault="00881B3A" w:rsidP="001C7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5E5"/>
    <w:rsid w:val="000637B5"/>
    <w:rsid w:val="001C7FE3"/>
    <w:rsid w:val="002825E5"/>
    <w:rsid w:val="004D7A81"/>
    <w:rsid w:val="007365C4"/>
    <w:rsid w:val="00881B3A"/>
    <w:rsid w:val="00D8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5C7E"/>
  <w15:chartTrackingRefBased/>
  <w15:docId w15:val="{E9345F6D-3CF2-42A2-B2EB-9C4F49E5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5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FE3"/>
    <w:pPr>
      <w:tabs>
        <w:tab w:val="center" w:pos="4680"/>
        <w:tab w:val="right" w:pos="9360"/>
      </w:tabs>
    </w:pPr>
  </w:style>
  <w:style w:type="character" w:customStyle="1" w:styleId="HeaderChar">
    <w:name w:val="Header Char"/>
    <w:basedOn w:val="DefaultParagraphFont"/>
    <w:link w:val="Header"/>
    <w:uiPriority w:val="99"/>
    <w:rsid w:val="001C7F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7FE3"/>
    <w:pPr>
      <w:tabs>
        <w:tab w:val="center" w:pos="4680"/>
        <w:tab w:val="right" w:pos="9360"/>
      </w:tabs>
    </w:pPr>
  </w:style>
  <w:style w:type="character" w:customStyle="1" w:styleId="FooterChar">
    <w:name w:val="Footer Char"/>
    <w:basedOn w:val="DefaultParagraphFont"/>
    <w:link w:val="Footer"/>
    <w:uiPriority w:val="99"/>
    <w:rsid w:val="001C7F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cp:lastModifiedBy>
  <cp:revision>2</cp:revision>
  <dcterms:created xsi:type="dcterms:W3CDTF">2026-04-30T04:46:00Z</dcterms:created>
  <dcterms:modified xsi:type="dcterms:W3CDTF">2026-04-30T04:46:00Z</dcterms:modified>
</cp:coreProperties>
</file>