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2D71F8" w:rsidRPr="002D71F8" w14:paraId="797CFDD1" w14:textId="77777777" w:rsidTr="002D71F8">
        <w:tc>
          <w:tcPr>
            <w:tcW w:w="2121" w:type="pct"/>
          </w:tcPr>
          <w:p w14:paraId="04CF988F" w14:textId="2D703624" w:rsidR="009B5FE3" w:rsidRPr="002D71F8" w:rsidRDefault="009F2CD5" w:rsidP="002D71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CHÍNH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PH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S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: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179/2026/NĐ-CP</w:t>
            </w:r>
          </w:p>
        </w:tc>
        <w:tc>
          <w:tcPr>
            <w:tcW w:w="2879" w:type="pct"/>
          </w:tcPr>
          <w:p w14:paraId="2B1C5887" w14:textId="44D9CB89" w:rsidR="009B5FE3" w:rsidRPr="002D71F8" w:rsidRDefault="009F2CD5" w:rsidP="002D71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C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HÒA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XÃ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I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CH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NGHĨA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VI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NAM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Đ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c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l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p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–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T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ự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do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–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ạ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nh</w:t>
            </w:r>
            <w:r w:rsid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phúc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  <w:vertAlign w:val="superscript"/>
              </w:rPr>
              <w:t>_________________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Hà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N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i,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ngày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20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tháng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5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năm</w:t>
            </w:r>
            <w:r w:rsidR="002D71F8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6A6BEBAC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4A31DEBB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4B2245C4" w14:textId="493D27EF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NGH</w:t>
      </w:r>
      <w:r w:rsidRPr="002D71F8">
        <w:rPr>
          <w:rFonts w:ascii="Arial" w:hAnsi="Arial"/>
          <w:b/>
          <w:color w:val="000000" w:themeColor="text1"/>
          <w:sz w:val="20"/>
        </w:rPr>
        <w:t>Ị</w:t>
      </w:r>
      <w:r w:rsidRPr="002D71F8">
        <w:rPr>
          <w:rFonts w:ascii="Arial" w:hAnsi="Arial"/>
          <w:b/>
          <w:color w:val="000000" w:themeColor="text1"/>
          <w:sz w:val="20"/>
        </w:rPr>
        <w:t xml:space="preserve"> Đ</w:t>
      </w:r>
      <w:r w:rsidRPr="002D71F8">
        <w:rPr>
          <w:rFonts w:ascii="Arial" w:hAnsi="Arial"/>
          <w:b/>
          <w:color w:val="000000" w:themeColor="text1"/>
          <w:sz w:val="20"/>
        </w:rPr>
        <w:t>Ị</w:t>
      </w:r>
      <w:r w:rsidRPr="002D71F8">
        <w:rPr>
          <w:rFonts w:ascii="Arial" w:hAnsi="Arial"/>
          <w:b/>
          <w:color w:val="000000" w:themeColor="text1"/>
          <w:sz w:val="20"/>
        </w:rPr>
        <w:t>NH</w:t>
      </w:r>
    </w:p>
    <w:p w14:paraId="7CDB605E" w14:textId="7777777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Quy đ</w:t>
      </w:r>
      <w:r w:rsidRPr="002D71F8">
        <w:rPr>
          <w:rFonts w:ascii="Arial" w:hAnsi="Arial"/>
          <w:b/>
          <w:color w:val="000000" w:themeColor="text1"/>
          <w:sz w:val="20"/>
        </w:rPr>
        <w:t>ị</w:t>
      </w:r>
      <w:r w:rsidRPr="002D71F8">
        <w:rPr>
          <w:rFonts w:ascii="Arial" w:hAnsi="Arial"/>
          <w:b/>
          <w:color w:val="000000" w:themeColor="text1"/>
          <w:sz w:val="20"/>
        </w:rPr>
        <w:t>nh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 cho ngư</w:t>
      </w:r>
      <w:r w:rsidRPr="002D71F8">
        <w:rPr>
          <w:rFonts w:ascii="Arial" w:hAnsi="Arial"/>
          <w:b/>
          <w:color w:val="000000" w:themeColor="text1"/>
          <w:sz w:val="20"/>
        </w:rPr>
        <w:t>ờ</w:t>
      </w:r>
      <w:r w:rsidRPr="002D71F8">
        <w:rPr>
          <w:rFonts w:ascii="Arial" w:hAnsi="Arial"/>
          <w:b/>
          <w:color w:val="000000" w:themeColor="text1"/>
          <w:sz w:val="20"/>
        </w:rPr>
        <w:t>i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</w:t>
      </w:r>
      <w:r w:rsidRPr="002D71F8">
        <w:rPr>
          <w:rFonts w:ascii="Arial" w:hAnsi="Arial"/>
          <w:color w:val="000000" w:themeColor="text1"/>
          <w:sz w:val="20"/>
        </w:rPr>
        <w:br/>
      </w:r>
      <w:r w:rsidRPr="002D71F8">
        <w:rPr>
          <w:rFonts w:ascii="Arial" w:hAnsi="Arial"/>
          <w:b/>
          <w:color w:val="000000" w:themeColor="text1"/>
          <w:sz w:val="20"/>
        </w:rPr>
        <w:t xml:space="preserve"> các ngành khoa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cơ b</w:t>
      </w:r>
      <w:r w:rsidRPr="002D71F8">
        <w:rPr>
          <w:rFonts w:ascii="Arial" w:hAnsi="Arial"/>
          <w:b/>
          <w:color w:val="000000" w:themeColor="text1"/>
          <w:sz w:val="20"/>
        </w:rPr>
        <w:t>ả</w:t>
      </w:r>
      <w:r w:rsidRPr="002D71F8">
        <w:rPr>
          <w:rFonts w:ascii="Arial" w:hAnsi="Arial"/>
          <w:b/>
          <w:color w:val="000000" w:themeColor="text1"/>
          <w:sz w:val="20"/>
        </w:rPr>
        <w:t>n, k</w:t>
      </w:r>
      <w:r w:rsidRPr="002D71F8">
        <w:rPr>
          <w:rFonts w:ascii="Arial" w:hAnsi="Arial"/>
          <w:b/>
          <w:color w:val="000000" w:themeColor="text1"/>
          <w:sz w:val="20"/>
        </w:rPr>
        <w:t>ỹ</w:t>
      </w:r>
      <w:r w:rsidRPr="002D71F8">
        <w:rPr>
          <w:rFonts w:ascii="Arial" w:hAnsi="Arial"/>
          <w:b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b/>
          <w:color w:val="000000" w:themeColor="text1"/>
          <w:sz w:val="20"/>
        </w:rPr>
        <w:t>ậ</w:t>
      </w:r>
      <w:r w:rsidRPr="002D71F8">
        <w:rPr>
          <w:rFonts w:ascii="Arial" w:hAnsi="Arial"/>
          <w:b/>
          <w:color w:val="000000" w:themeColor="text1"/>
          <w:sz w:val="20"/>
        </w:rPr>
        <w:t>t then ch</w:t>
      </w:r>
      <w:r w:rsidRPr="002D71F8">
        <w:rPr>
          <w:rFonts w:ascii="Arial" w:hAnsi="Arial"/>
          <w:b/>
          <w:color w:val="000000" w:themeColor="text1"/>
          <w:sz w:val="20"/>
        </w:rPr>
        <w:t>ố</w:t>
      </w:r>
      <w:r w:rsidRPr="002D71F8">
        <w:rPr>
          <w:rFonts w:ascii="Arial" w:hAnsi="Arial"/>
          <w:b/>
          <w:color w:val="000000" w:themeColor="text1"/>
          <w:sz w:val="20"/>
        </w:rPr>
        <w:t>t và công ngh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b/>
          <w:color w:val="000000" w:themeColor="text1"/>
          <w:sz w:val="20"/>
        </w:rPr>
        <w:t>ế</w:t>
      </w:r>
      <w:r w:rsidRPr="002D71F8">
        <w:rPr>
          <w:rFonts w:ascii="Arial" w:hAnsi="Arial"/>
          <w:b/>
          <w:color w:val="000000" w:themeColor="text1"/>
          <w:sz w:val="20"/>
        </w:rPr>
        <w:t>n lư</w:t>
      </w:r>
      <w:r w:rsidRPr="002D71F8">
        <w:rPr>
          <w:rFonts w:ascii="Arial" w:hAnsi="Arial"/>
          <w:b/>
          <w:color w:val="000000" w:themeColor="text1"/>
          <w:sz w:val="20"/>
        </w:rPr>
        <w:t>ợ</w:t>
      </w:r>
      <w:r w:rsidRPr="002D71F8">
        <w:rPr>
          <w:rFonts w:ascii="Arial" w:hAnsi="Arial"/>
          <w:b/>
          <w:color w:val="000000" w:themeColor="text1"/>
          <w:sz w:val="20"/>
        </w:rPr>
        <w:t>c</w:t>
      </w:r>
    </w:p>
    <w:p w14:paraId="3CD1DE1F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070CF32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Căn c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 xml:space="preserve">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T</w:t>
      </w:r>
      <w:r w:rsidRPr="002D71F8">
        <w:rPr>
          <w:rFonts w:ascii="Arial" w:hAnsi="Arial"/>
          <w:i/>
          <w:color w:val="000000" w:themeColor="text1"/>
          <w:sz w:val="20"/>
        </w:rPr>
        <w:t>ổ</w:t>
      </w:r>
      <w:r w:rsidRPr="002D71F8">
        <w:rPr>
          <w:rFonts w:ascii="Arial" w:hAnsi="Arial"/>
          <w:i/>
          <w:color w:val="000000" w:themeColor="text1"/>
          <w:sz w:val="20"/>
        </w:rPr>
        <w:t xml:space="preserve"> ch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>c Chính ph</w:t>
      </w:r>
      <w:r w:rsidRPr="002D71F8">
        <w:rPr>
          <w:rFonts w:ascii="Arial" w:hAnsi="Arial"/>
          <w:i/>
          <w:color w:val="000000" w:themeColor="text1"/>
          <w:sz w:val="20"/>
        </w:rPr>
        <w:t>ủ</w:t>
      </w:r>
      <w:r w:rsidRPr="002D71F8">
        <w:rPr>
          <w:rFonts w:ascii="Arial" w:hAnsi="Arial"/>
          <w:i/>
          <w:color w:val="000000" w:themeColor="text1"/>
          <w:sz w:val="20"/>
        </w:rPr>
        <w:t xml:space="preserve">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63/2025/QH15;</w:t>
      </w:r>
    </w:p>
    <w:p w14:paraId="16D811E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Căn c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 xml:space="preserve">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T</w:t>
      </w:r>
      <w:r w:rsidRPr="002D71F8">
        <w:rPr>
          <w:rFonts w:ascii="Arial" w:hAnsi="Arial"/>
          <w:i/>
          <w:color w:val="000000" w:themeColor="text1"/>
          <w:sz w:val="20"/>
        </w:rPr>
        <w:t>ổ</w:t>
      </w:r>
      <w:r w:rsidRPr="002D71F8">
        <w:rPr>
          <w:rFonts w:ascii="Arial" w:hAnsi="Arial"/>
          <w:i/>
          <w:color w:val="000000" w:themeColor="text1"/>
          <w:sz w:val="20"/>
        </w:rPr>
        <w:t xml:space="preserve"> ch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>c chính quy</w:t>
      </w:r>
      <w:r w:rsidRPr="002D71F8">
        <w:rPr>
          <w:rFonts w:ascii="Arial" w:hAnsi="Arial"/>
          <w:i/>
          <w:color w:val="000000" w:themeColor="text1"/>
          <w:sz w:val="20"/>
        </w:rPr>
        <w:t>ề</w:t>
      </w:r>
      <w:r w:rsidRPr="002D71F8">
        <w:rPr>
          <w:rFonts w:ascii="Arial" w:hAnsi="Arial"/>
          <w:i/>
          <w:color w:val="000000" w:themeColor="text1"/>
          <w:sz w:val="20"/>
        </w:rPr>
        <w:t>n đ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>a phương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72/2025/QH15;</w:t>
      </w:r>
    </w:p>
    <w:p w14:paraId="7A34A23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Căn c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 xml:space="preserve">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Ngân sách nhà nư</w:t>
      </w:r>
      <w:r w:rsidRPr="002D71F8">
        <w:rPr>
          <w:rFonts w:ascii="Arial" w:hAnsi="Arial"/>
          <w:i/>
          <w:color w:val="000000" w:themeColor="text1"/>
          <w:sz w:val="20"/>
        </w:rPr>
        <w:t>ớ</w:t>
      </w:r>
      <w:r w:rsidRPr="002D71F8">
        <w:rPr>
          <w:rFonts w:ascii="Arial" w:hAnsi="Arial"/>
          <w:i/>
          <w:color w:val="000000" w:themeColor="text1"/>
          <w:sz w:val="20"/>
        </w:rPr>
        <w:t>c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89/2025/QH15;</w:t>
      </w:r>
    </w:p>
    <w:p w14:paraId="5040E2A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Căn c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 xml:space="preserve">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Giáo d</w:t>
      </w:r>
      <w:r w:rsidRPr="002D71F8">
        <w:rPr>
          <w:rFonts w:ascii="Arial" w:hAnsi="Arial"/>
          <w:i/>
          <w:color w:val="000000" w:themeColor="text1"/>
          <w:sz w:val="20"/>
        </w:rPr>
        <w:t>ụ</w:t>
      </w:r>
      <w:r w:rsidRPr="002D71F8">
        <w:rPr>
          <w:rFonts w:ascii="Arial" w:hAnsi="Arial"/>
          <w:i/>
          <w:color w:val="000000" w:themeColor="text1"/>
          <w:sz w:val="20"/>
        </w:rPr>
        <w:t>c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43/20</w:t>
      </w:r>
      <w:r w:rsidRPr="002D71F8">
        <w:rPr>
          <w:rFonts w:ascii="Arial" w:hAnsi="Arial"/>
          <w:i/>
          <w:color w:val="000000" w:themeColor="text1"/>
          <w:sz w:val="20"/>
        </w:rPr>
        <w:t>19/QH14 đư</w:t>
      </w:r>
      <w:r w:rsidRPr="002D71F8">
        <w:rPr>
          <w:rFonts w:ascii="Arial" w:hAnsi="Arial"/>
          <w:i/>
          <w:color w:val="000000" w:themeColor="text1"/>
          <w:sz w:val="20"/>
        </w:rPr>
        <w:t>ợ</w:t>
      </w:r>
      <w:r w:rsidRPr="002D71F8">
        <w:rPr>
          <w:rFonts w:ascii="Arial" w:hAnsi="Arial"/>
          <w:i/>
          <w:color w:val="000000" w:themeColor="text1"/>
          <w:sz w:val="20"/>
        </w:rPr>
        <w:t>c s</w:t>
      </w:r>
      <w:r w:rsidRPr="002D71F8">
        <w:rPr>
          <w:rFonts w:ascii="Arial" w:hAnsi="Arial"/>
          <w:i/>
          <w:color w:val="000000" w:themeColor="text1"/>
          <w:sz w:val="20"/>
        </w:rPr>
        <w:t>ử</w:t>
      </w:r>
      <w:r w:rsidRPr="002D71F8">
        <w:rPr>
          <w:rFonts w:ascii="Arial" w:hAnsi="Arial"/>
          <w:i/>
          <w:color w:val="000000" w:themeColor="text1"/>
          <w:sz w:val="20"/>
        </w:rPr>
        <w:t>a đ</w:t>
      </w:r>
      <w:r w:rsidRPr="002D71F8">
        <w:rPr>
          <w:rFonts w:ascii="Arial" w:hAnsi="Arial"/>
          <w:i/>
          <w:color w:val="000000" w:themeColor="text1"/>
          <w:sz w:val="20"/>
        </w:rPr>
        <w:t>ổ</w:t>
      </w:r>
      <w:r w:rsidRPr="002D71F8">
        <w:rPr>
          <w:rFonts w:ascii="Arial" w:hAnsi="Arial"/>
          <w:i/>
          <w:color w:val="000000" w:themeColor="text1"/>
          <w:sz w:val="20"/>
        </w:rPr>
        <w:t>i, b</w:t>
      </w:r>
      <w:r w:rsidRPr="002D71F8">
        <w:rPr>
          <w:rFonts w:ascii="Arial" w:hAnsi="Arial"/>
          <w:i/>
          <w:color w:val="000000" w:themeColor="text1"/>
          <w:sz w:val="20"/>
        </w:rPr>
        <w:t>ổ</w:t>
      </w:r>
      <w:r w:rsidRPr="002D71F8">
        <w:rPr>
          <w:rFonts w:ascii="Arial" w:hAnsi="Arial"/>
          <w:i/>
          <w:color w:val="000000" w:themeColor="text1"/>
          <w:sz w:val="20"/>
        </w:rPr>
        <w:t xml:space="preserve"> sung m</w:t>
      </w:r>
      <w:r w:rsidRPr="002D71F8">
        <w:rPr>
          <w:rFonts w:ascii="Arial" w:hAnsi="Arial"/>
          <w:i/>
          <w:color w:val="000000" w:themeColor="text1"/>
          <w:sz w:val="20"/>
        </w:rPr>
        <w:t>ộ</w:t>
      </w:r>
      <w:r w:rsidRPr="002D71F8">
        <w:rPr>
          <w:rFonts w:ascii="Arial" w:hAnsi="Arial"/>
          <w:i/>
          <w:color w:val="000000" w:themeColor="text1"/>
          <w:sz w:val="20"/>
        </w:rPr>
        <w:t>t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i/>
          <w:color w:val="000000" w:themeColor="text1"/>
          <w:sz w:val="20"/>
        </w:rPr>
        <w:t>ề</w:t>
      </w:r>
      <w:r w:rsidRPr="002D71F8">
        <w:rPr>
          <w:rFonts w:ascii="Arial" w:hAnsi="Arial"/>
          <w:i/>
          <w:color w:val="000000" w:themeColor="text1"/>
          <w:sz w:val="20"/>
        </w:rPr>
        <w:t>u b</w:t>
      </w:r>
      <w:r w:rsidRPr="002D71F8">
        <w:rPr>
          <w:rFonts w:ascii="Arial" w:hAnsi="Arial"/>
          <w:i/>
          <w:color w:val="000000" w:themeColor="text1"/>
          <w:sz w:val="20"/>
        </w:rPr>
        <w:t>ở</w:t>
      </w:r>
      <w:r w:rsidRPr="002D71F8">
        <w:rPr>
          <w:rFonts w:ascii="Arial" w:hAnsi="Arial"/>
          <w:i/>
          <w:color w:val="000000" w:themeColor="text1"/>
          <w:sz w:val="20"/>
        </w:rPr>
        <w:t>i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123/2025/QH15;</w:t>
      </w:r>
    </w:p>
    <w:p w14:paraId="6443776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Căn c</w:t>
      </w:r>
      <w:r w:rsidRPr="002D71F8">
        <w:rPr>
          <w:rFonts w:ascii="Arial" w:hAnsi="Arial"/>
          <w:i/>
          <w:color w:val="000000" w:themeColor="text1"/>
          <w:sz w:val="20"/>
        </w:rPr>
        <w:t>ứ</w:t>
      </w:r>
      <w:r w:rsidRPr="002D71F8">
        <w:rPr>
          <w:rFonts w:ascii="Arial" w:hAnsi="Arial"/>
          <w:i/>
          <w:color w:val="000000" w:themeColor="text1"/>
          <w:sz w:val="20"/>
        </w:rPr>
        <w:t xml:space="preserve"> Lu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Giáo d</w:t>
      </w:r>
      <w:r w:rsidRPr="002D71F8">
        <w:rPr>
          <w:rFonts w:ascii="Arial" w:hAnsi="Arial"/>
          <w:i/>
          <w:color w:val="000000" w:themeColor="text1"/>
          <w:sz w:val="20"/>
        </w:rPr>
        <w:t>ụ</w:t>
      </w:r>
      <w:r w:rsidRPr="002D71F8">
        <w:rPr>
          <w:rFonts w:ascii="Arial" w:hAnsi="Arial"/>
          <w:i/>
          <w:color w:val="000000" w:themeColor="text1"/>
          <w:sz w:val="20"/>
        </w:rPr>
        <w:t>c đ</w:t>
      </w:r>
      <w:r w:rsidRPr="002D71F8">
        <w:rPr>
          <w:rFonts w:ascii="Arial" w:hAnsi="Arial"/>
          <w:i/>
          <w:color w:val="000000" w:themeColor="text1"/>
          <w:sz w:val="20"/>
        </w:rPr>
        <w:t>ạ</w:t>
      </w:r>
      <w:r w:rsidRPr="002D71F8">
        <w:rPr>
          <w:rFonts w:ascii="Arial" w:hAnsi="Arial"/>
          <w:i/>
          <w:color w:val="000000" w:themeColor="text1"/>
          <w:sz w:val="20"/>
        </w:rPr>
        <w:t>i h</w:t>
      </w:r>
      <w:r w:rsidRPr="002D71F8">
        <w:rPr>
          <w:rFonts w:ascii="Arial" w:hAnsi="Arial"/>
          <w:i/>
          <w:color w:val="000000" w:themeColor="text1"/>
          <w:sz w:val="20"/>
        </w:rPr>
        <w:t>ọ</w:t>
      </w:r>
      <w:r w:rsidRPr="002D71F8">
        <w:rPr>
          <w:rFonts w:ascii="Arial" w:hAnsi="Arial"/>
          <w:i/>
          <w:color w:val="000000" w:themeColor="text1"/>
          <w:sz w:val="20"/>
        </w:rPr>
        <w:t>c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125/2025/QH15;</w:t>
      </w:r>
    </w:p>
    <w:p w14:paraId="0B47C139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Theo đ</w:t>
      </w:r>
      <w:r w:rsidRPr="002D71F8">
        <w:rPr>
          <w:rFonts w:ascii="Arial" w:hAnsi="Arial"/>
          <w:i/>
          <w:color w:val="000000" w:themeColor="text1"/>
          <w:sz w:val="20"/>
        </w:rPr>
        <w:t>ề</w:t>
      </w:r>
      <w:r w:rsidRPr="002D71F8">
        <w:rPr>
          <w:rFonts w:ascii="Arial" w:hAnsi="Arial"/>
          <w:i/>
          <w:color w:val="000000" w:themeColor="text1"/>
          <w:sz w:val="20"/>
        </w:rPr>
        <w:t xml:space="preserve"> ngh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 xml:space="preserve"> c</w:t>
      </w:r>
      <w:r w:rsidRPr="002D71F8">
        <w:rPr>
          <w:rFonts w:ascii="Arial" w:hAnsi="Arial"/>
          <w:i/>
          <w:color w:val="000000" w:themeColor="text1"/>
          <w:sz w:val="20"/>
        </w:rPr>
        <w:t>ủ</w:t>
      </w:r>
      <w:r w:rsidRPr="002D71F8">
        <w:rPr>
          <w:rFonts w:ascii="Arial" w:hAnsi="Arial"/>
          <w:i/>
          <w:color w:val="000000" w:themeColor="text1"/>
          <w:sz w:val="20"/>
        </w:rPr>
        <w:t>a B</w:t>
      </w:r>
      <w:r w:rsidRPr="002D71F8">
        <w:rPr>
          <w:rFonts w:ascii="Arial" w:hAnsi="Arial"/>
          <w:i/>
          <w:color w:val="000000" w:themeColor="text1"/>
          <w:sz w:val="20"/>
        </w:rPr>
        <w:t>ộ</w:t>
      </w:r>
      <w:r w:rsidRPr="002D71F8">
        <w:rPr>
          <w:rFonts w:ascii="Arial" w:hAnsi="Arial"/>
          <w:i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i/>
          <w:color w:val="000000" w:themeColor="text1"/>
          <w:sz w:val="20"/>
        </w:rPr>
        <w:t>ở</w:t>
      </w:r>
      <w:r w:rsidRPr="002D71F8">
        <w:rPr>
          <w:rFonts w:ascii="Arial" w:hAnsi="Arial"/>
          <w:i/>
          <w:color w:val="000000" w:themeColor="text1"/>
          <w:sz w:val="20"/>
        </w:rPr>
        <w:t>ng B</w:t>
      </w:r>
      <w:r w:rsidRPr="002D71F8">
        <w:rPr>
          <w:rFonts w:ascii="Arial" w:hAnsi="Arial"/>
          <w:i/>
          <w:color w:val="000000" w:themeColor="text1"/>
          <w:sz w:val="20"/>
        </w:rPr>
        <w:t>ộ</w:t>
      </w:r>
      <w:r w:rsidRPr="002D71F8">
        <w:rPr>
          <w:rFonts w:ascii="Arial" w:hAnsi="Arial"/>
          <w:i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i/>
          <w:color w:val="000000" w:themeColor="text1"/>
          <w:sz w:val="20"/>
        </w:rPr>
        <w:t>ụ</w:t>
      </w:r>
      <w:r w:rsidRPr="002D71F8">
        <w:rPr>
          <w:rFonts w:ascii="Arial" w:hAnsi="Arial"/>
          <w:i/>
          <w:color w:val="000000" w:themeColor="text1"/>
          <w:sz w:val="20"/>
        </w:rPr>
        <w:t>c và Đào t</w:t>
      </w:r>
      <w:r w:rsidRPr="002D71F8">
        <w:rPr>
          <w:rFonts w:ascii="Arial" w:hAnsi="Arial"/>
          <w:i/>
          <w:color w:val="000000" w:themeColor="text1"/>
          <w:sz w:val="20"/>
        </w:rPr>
        <w:t>ạ</w:t>
      </w:r>
      <w:r w:rsidRPr="002D71F8">
        <w:rPr>
          <w:rFonts w:ascii="Arial" w:hAnsi="Arial"/>
          <w:i/>
          <w:color w:val="000000" w:themeColor="text1"/>
          <w:sz w:val="20"/>
        </w:rPr>
        <w:t>o;</w:t>
      </w:r>
    </w:p>
    <w:p w14:paraId="5ACC5A48" w14:textId="77777777" w:rsidR="009B5FE3" w:rsidRPr="002D71F8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Chính ph</w:t>
      </w:r>
      <w:r w:rsidRPr="002D71F8">
        <w:rPr>
          <w:rFonts w:ascii="Arial" w:hAnsi="Arial"/>
          <w:i/>
          <w:color w:val="000000" w:themeColor="text1"/>
          <w:sz w:val="20"/>
        </w:rPr>
        <w:t>ủ</w:t>
      </w:r>
      <w:r w:rsidRPr="002D71F8">
        <w:rPr>
          <w:rFonts w:ascii="Arial" w:hAnsi="Arial"/>
          <w:i/>
          <w:color w:val="000000" w:themeColor="text1"/>
          <w:sz w:val="20"/>
        </w:rPr>
        <w:t xml:space="preserve"> ban hành Ngh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 xml:space="preserve"> đ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>nh quy đ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>nh chính sách h</w:t>
      </w:r>
      <w:r w:rsidRPr="002D71F8">
        <w:rPr>
          <w:rFonts w:ascii="Arial" w:hAnsi="Arial"/>
          <w:i/>
          <w:color w:val="000000" w:themeColor="text1"/>
          <w:sz w:val="20"/>
        </w:rPr>
        <w:t>ọ</w:t>
      </w:r>
      <w:r w:rsidRPr="002D71F8">
        <w:rPr>
          <w:rFonts w:ascii="Arial" w:hAnsi="Arial"/>
          <w:i/>
          <w:color w:val="000000" w:themeColor="text1"/>
          <w:sz w:val="20"/>
        </w:rPr>
        <w:t>c b</w:t>
      </w:r>
      <w:r w:rsidRPr="002D71F8">
        <w:rPr>
          <w:rFonts w:ascii="Arial" w:hAnsi="Arial"/>
          <w:i/>
          <w:color w:val="000000" w:themeColor="text1"/>
          <w:sz w:val="20"/>
        </w:rPr>
        <w:t>ổ</w:t>
      </w:r>
      <w:r w:rsidRPr="002D71F8">
        <w:rPr>
          <w:rFonts w:ascii="Arial" w:hAnsi="Arial"/>
          <w:i/>
          <w:color w:val="000000" w:themeColor="text1"/>
          <w:sz w:val="20"/>
        </w:rPr>
        <w:t>ng cho ngư</w:t>
      </w:r>
      <w:r w:rsidRPr="002D71F8">
        <w:rPr>
          <w:rFonts w:ascii="Arial" w:hAnsi="Arial"/>
          <w:i/>
          <w:color w:val="000000" w:themeColor="text1"/>
          <w:sz w:val="20"/>
        </w:rPr>
        <w:t>ờ</w:t>
      </w:r>
      <w:r w:rsidRPr="002D71F8">
        <w:rPr>
          <w:rFonts w:ascii="Arial" w:hAnsi="Arial"/>
          <w:i/>
          <w:color w:val="000000" w:themeColor="text1"/>
          <w:sz w:val="20"/>
        </w:rPr>
        <w:t>i h</w:t>
      </w:r>
      <w:r w:rsidRPr="002D71F8">
        <w:rPr>
          <w:rFonts w:ascii="Arial" w:hAnsi="Arial"/>
          <w:i/>
          <w:color w:val="000000" w:themeColor="text1"/>
          <w:sz w:val="20"/>
        </w:rPr>
        <w:t>ọ</w:t>
      </w:r>
      <w:r w:rsidRPr="002D71F8">
        <w:rPr>
          <w:rFonts w:ascii="Arial" w:hAnsi="Arial"/>
          <w:i/>
          <w:color w:val="000000" w:themeColor="text1"/>
          <w:sz w:val="20"/>
        </w:rPr>
        <w:t xml:space="preserve">c các ngành khoa </w:t>
      </w:r>
      <w:r w:rsidRPr="002D71F8">
        <w:rPr>
          <w:rFonts w:ascii="Arial" w:hAnsi="Arial"/>
          <w:i/>
          <w:color w:val="000000" w:themeColor="text1"/>
          <w:sz w:val="20"/>
        </w:rPr>
        <w:t>h</w:t>
      </w:r>
      <w:r w:rsidRPr="002D71F8">
        <w:rPr>
          <w:rFonts w:ascii="Arial" w:hAnsi="Arial"/>
          <w:i/>
          <w:color w:val="000000" w:themeColor="text1"/>
          <w:sz w:val="20"/>
        </w:rPr>
        <w:t>ọ</w:t>
      </w:r>
      <w:r w:rsidRPr="002D71F8">
        <w:rPr>
          <w:rFonts w:ascii="Arial" w:hAnsi="Arial"/>
          <w:i/>
          <w:color w:val="000000" w:themeColor="text1"/>
          <w:sz w:val="20"/>
        </w:rPr>
        <w:t>c cơ b</w:t>
      </w:r>
      <w:r w:rsidRPr="002D71F8">
        <w:rPr>
          <w:rFonts w:ascii="Arial" w:hAnsi="Arial"/>
          <w:i/>
          <w:color w:val="000000" w:themeColor="text1"/>
          <w:sz w:val="20"/>
        </w:rPr>
        <w:t>ả</w:t>
      </w:r>
      <w:r w:rsidRPr="002D71F8">
        <w:rPr>
          <w:rFonts w:ascii="Arial" w:hAnsi="Arial"/>
          <w:i/>
          <w:color w:val="000000" w:themeColor="text1"/>
          <w:sz w:val="20"/>
        </w:rPr>
        <w:t>n, k</w:t>
      </w:r>
      <w:r w:rsidRPr="002D71F8">
        <w:rPr>
          <w:rFonts w:ascii="Arial" w:hAnsi="Arial"/>
          <w:i/>
          <w:color w:val="000000" w:themeColor="text1"/>
          <w:sz w:val="20"/>
        </w:rPr>
        <w:t>ỹ</w:t>
      </w:r>
      <w:r w:rsidRPr="002D71F8">
        <w:rPr>
          <w:rFonts w:ascii="Arial" w:hAnsi="Arial"/>
          <w:i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i/>
          <w:color w:val="000000" w:themeColor="text1"/>
          <w:sz w:val="20"/>
        </w:rPr>
        <w:t>ậ</w:t>
      </w:r>
      <w:r w:rsidRPr="002D71F8">
        <w:rPr>
          <w:rFonts w:ascii="Arial" w:hAnsi="Arial"/>
          <w:i/>
          <w:color w:val="000000" w:themeColor="text1"/>
          <w:sz w:val="20"/>
        </w:rPr>
        <w:t>t then ch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>t và công ngh</w:t>
      </w:r>
      <w:r w:rsidRPr="002D71F8">
        <w:rPr>
          <w:rFonts w:ascii="Arial" w:hAnsi="Arial"/>
          <w:i/>
          <w:color w:val="000000" w:themeColor="text1"/>
          <w:sz w:val="20"/>
        </w:rPr>
        <w:t>ệ</w:t>
      </w:r>
      <w:r w:rsidRPr="002D71F8">
        <w:rPr>
          <w:rFonts w:ascii="Arial" w:hAnsi="Arial"/>
          <w:i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i/>
          <w:color w:val="000000" w:themeColor="text1"/>
          <w:sz w:val="20"/>
        </w:rPr>
        <w:t>ế</w:t>
      </w:r>
      <w:r w:rsidRPr="002D71F8">
        <w:rPr>
          <w:rFonts w:ascii="Arial" w:hAnsi="Arial"/>
          <w:i/>
          <w:color w:val="000000" w:themeColor="text1"/>
          <w:sz w:val="20"/>
        </w:rPr>
        <w:t>n lư</w:t>
      </w:r>
      <w:r w:rsidRPr="002D71F8">
        <w:rPr>
          <w:rFonts w:ascii="Arial" w:hAnsi="Arial"/>
          <w:i/>
          <w:color w:val="000000" w:themeColor="text1"/>
          <w:sz w:val="20"/>
        </w:rPr>
        <w:t>ợ</w:t>
      </w:r>
      <w:r w:rsidRPr="002D71F8">
        <w:rPr>
          <w:rFonts w:ascii="Arial" w:hAnsi="Arial"/>
          <w:i/>
          <w:color w:val="000000" w:themeColor="text1"/>
          <w:sz w:val="20"/>
        </w:rPr>
        <w:t>c.</w:t>
      </w:r>
    </w:p>
    <w:p w14:paraId="378189C1" w14:textId="77777777" w:rsid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6CB06D4C" w14:textId="7262130B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Chương I</w:t>
      </w:r>
    </w:p>
    <w:p w14:paraId="475DE117" w14:textId="77777777" w:rsidR="009B5FE3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QUY Đ</w:t>
      </w:r>
      <w:r w:rsidRPr="002D71F8">
        <w:rPr>
          <w:rFonts w:ascii="Arial" w:hAnsi="Arial"/>
          <w:b/>
          <w:color w:val="000000" w:themeColor="text1"/>
          <w:sz w:val="20"/>
        </w:rPr>
        <w:t>Ị</w:t>
      </w:r>
      <w:r w:rsidRPr="002D71F8">
        <w:rPr>
          <w:rFonts w:ascii="Arial" w:hAnsi="Arial"/>
          <w:b/>
          <w:color w:val="000000" w:themeColor="text1"/>
          <w:sz w:val="20"/>
        </w:rPr>
        <w:t>NH CHUNG</w:t>
      </w:r>
    </w:p>
    <w:p w14:paraId="1733E9D2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7790F92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1. Ph</w:t>
      </w:r>
      <w:r w:rsidRPr="002D71F8">
        <w:rPr>
          <w:rFonts w:ascii="Arial" w:hAnsi="Arial"/>
          <w:b/>
          <w:color w:val="000000" w:themeColor="text1"/>
          <w:sz w:val="20"/>
        </w:rPr>
        <w:t>ạ</w:t>
      </w:r>
      <w:r w:rsidRPr="002D71F8">
        <w:rPr>
          <w:rFonts w:ascii="Arial" w:hAnsi="Arial"/>
          <w:b/>
          <w:color w:val="000000" w:themeColor="text1"/>
          <w:sz w:val="20"/>
        </w:rPr>
        <w:t>m vi 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ch</w:t>
      </w:r>
      <w:r w:rsidRPr="002D71F8">
        <w:rPr>
          <w:rFonts w:ascii="Arial" w:hAnsi="Arial"/>
          <w:b/>
          <w:color w:val="000000" w:themeColor="text1"/>
          <w:sz w:val="20"/>
        </w:rPr>
        <w:t>ỉ</w:t>
      </w:r>
      <w:r w:rsidRPr="002D71F8">
        <w:rPr>
          <w:rFonts w:ascii="Arial" w:hAnsi="Arial"/>
          <w:b/>
          <w:color w:val="000000" w:themeColor="text1"/>
          <w:sz w:val="20"/>
        </w:rPr>
        <w:t>nh</w:t>
      </w:r>
    </w:p>
    <w:p w14:paraId="0FB3708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n </w:t>
      </w:r>
      <w:r w:rsidRPr="002D71F8">
        <w:rPr>
          <w:rFonts w:ascii="Arial" w:hAnsi="Arial"/>
          <w:color w:val="000000" w:themeColor="text1"/>
          <w:sz w:val="20"/>
        </w:rPr>
        <w:t>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c, bao g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m: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áp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ng,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nguyên t</w:t>
      </w:r>
      <w:r w:rsidRPr="002D71F8">
        <w:rPr>
          <w:rFonts w:ascii="Arial" w:hAnsi="Arial"/>
          <w:color w:val="000000" w:themeColor="text1"/>
          <w:sz w:val="20"/>
        </w:rPr>
        <w:t>ắ</w:t>
      </w:r>
      <w:r w:rsidRPr="002D71F8">
        <w:rPr>
          <w:rFonts w:ascii="Arial" w:hAnsi="Arial"/>
          <w:color w:val="000000" w:themeColor="text1"/>
          <w:sz w:val="20"/>
        </w:rPr>
        <w:t>c, tiêu chu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n,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và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ng,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và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p, phân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toán,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</w:t>
      </w:r>
      <w:r w:rsidRPr="002D71F8">
        <w:rPr>
          <w:rFonts w:ascii="Arial" w:hAnsi="Arial"/>
          <w:color w:val="000000" w:themeColor="text1"/>
          <w:sz w:val="20"/>
        </w:rPr>
        <w:t xml:space="preserve">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c, cá nhân liên quan đ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này.</w:t>
      </w:r>
    </w:p>
    <w:p w14:paraId="71F02A8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2. Đ</w:t>
      </w:r>
      <w:r w:rsidRPr="002D71F8">
        <w:rPr>
          <w:rFonts w:ascii="Arial" w:hAnsi="Arial"/>
          <w:b/>
          <w:color w:val="000000" w:themeColor="text1"/>
          <w:sz w:val="20"/>
        </w:rPr>
        <w:t>ố</w:t>
      </w:r>
      <w:r w:rsidRPr="002D71F8">
        <w:rPr>
          <w:rFonts w:ascii="Arial" w:hAnsi="Arial"/>
          <w:b/>
          <w:color w:val="000000" w:themeColor="text1"/>
          <w:sz w:val="20"/>
        </w:rPr>
        <w:t>i tư</w:t>
      </w:r>
      <w:r w:rsidRPr="002D71F8">
        <w:rPr>
          <w:rFonts w:ascii="Arial" w:hAnsi="Arial"/>
          <w:b/>
          <w:color w:val="000000" w:themeColor="text1"/>
          <w:sz w:val="20"/>
        </w:rPr>
        <w:t>ợ</w:t>
      </w:r>
      <w:r w:rsidRPr="002D71F8">
        <w:rPr>
          <w:rFonts w:ascii="Arial" w:hAnsi="Arial"/>
          <w:b/>
          <w:color w:val="000000" w:themeColor="text1"/>
          <w:sz w:val="20"/>
        </w:rPr>
        <w:t>ng áp d</w:t>
      </w:r>
      <w:r w:rsidRPr="002D71F8">
        <w:rPr>
          <w:rFonts w:ascii="Arial" w:hAnsi="Arial"/>
          <w:b/>
          <w:color w:val="000000" w:themeColor="text1"/>
          <w:sz w:val="20"/>
        </w:rPr>
        <w:t>ụ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259C6E3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là công dân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Nam đang theo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hình th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chính quy các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3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</w:t>
      </w:r>
      <w:r w:rsidRPr="002D71F8">
        <w:rPr>
          <w:rFonts w:ascii="Arial" w:hAnsi="Arial"/>
          <w:color w:val="000000" w:themeColor="text1"/>
          <w:sz w:val="20"/>
        </w:rPr>
        <w:t>h này, bao g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m: sinh viên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nhân,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sư;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viên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sĩ;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sĩ.</w:t>
      </w:r>
    </w:p>
    <w:p w14:paraId="7D3BE5B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125/2025/QH15, các cơ quan,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và cá nhân c</w:t>
      </w:r>
      <w:r w:rsidRPr="002D71F8">
        <w:rPr>
          <w:rFonts w:ascii="Arial" w:hAnsi="Arial"/>
          <w:color w:val="000000" w:themeColor="text1"/>
          <w:sz w:val="20"/>
        </w:rPr>
        <w:t>ó liên quan đ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ng.</w:t>
      </w:r>
    </w:p>
    <w:p w14:paraId="7DE8020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3. Các chương trình đào t</w:t>
      </w:r>
      <w:r w:rsidRPr="002D71F8">
        <w:rPr>
          <w:rFonts w:ascii="Arial" w:hAnsi="Arial"/>
          <w:b/>
          <w:color w:val="000000" w:themeColor="text1"/>
          <w:sz w:val="20"/>
        </w:rPr>
        <w:t>ạ</w:t>
      </w:r>
      <w:r w:rsidRPr="002D71F8">
        <w:rPr>
          <w:rFonts w:ascii="Arial" w:hAnsi="Arial"/>
          <w:b/>
          <w:color w:val="000000" w:themeColor="text1"/>
          <w:sz w:val="20"/>
        </w:rPr>
        <w:t>o đư</w:t>
      </w:r>
      <w:r w:rsidRPr="002D71F8">
        <w:rPr>
          <w:rFonts w:ascii="Arial" w:hAnsi="Arial"/>
          <w:b/>
          <w:color w:val="000000" w:themeColor="text1"/>
          <w:sz w:val="20"/>
        </w:rPr>
        <w:t>ợ</w:t>
      </w:r>
      <w:r w:rsidRPr="002D71F8">
        <w:rPr>
          <w:rFonts w:ascii="Arial" w:hAnsi="Arial"/>
          <w:b/>
          <w:color w:val="000000" w:themeColor="text1"/>
          <w:sz w:val="20"/>
        </w:rPr>
        <w:t>c hư</w:t>
      </w:r>
      <w:r w:rsidRPr="002D71F8">
        <w:rPr>
          <w:rFonts w:ascii="Arial" w:hAnsi="Arial"/>
          <w:b/>
          <w:color w:val="000000" w:themeColor="text1"/>
          <w:sz w:val="20"/>
        </w:rPr>
        <w:t>ở</w:t>
      </w:r>
      <w:r w:rsidRPr="002D71F8">
        <w:rPr>
          <w:rFonts w:ascii="Arial" w:hAnsi="Arial"/>
          <w:b/>
          <w:color w:val="000000" w:themeColor="text1"/>
          <w:sz w:val="20"/>
        </w:rPr>
        <w:t>ng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48A3C10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các nhóm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Ph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l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ban hành kèm theo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4D302F2F" w14:textId="77777777" w:rsidR="009B5FE3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 và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các nhóm ngành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1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này do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phê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6B2DB790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4C8F0686" w14:textId="7777777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Chương II</w:t>
      </w:r>
    </w:p>
    <w:p w14:paraId="08559E49" w14:textId="30D206B6" w:rsidR="009B5FE3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NGUYÊN T</w:t>
      </w:r>
      <w:r w:rsidRPr="002D71F8">
        <w:rPr>
          <w:rFonts w:ascii="Arial" w:hAnsi="Arial"/>
          <w:b/>
          <w:color w:val="000000" w:themeColor="text1"/>
          <w:sz w:val="20"/>
        </w:rPr>
        <w:t>Ắ</w:t>
      </w:r>
      <w:r w:rsidRPr="002D71F8">
        <w:rPr>
          <w:rFonts w:ascii="Arial" w:hAnsi="Arial"/>
          <w:b/>
          <w:color w:val="000000" w:themeColor="text1"/>
          <w:sz w:val="20"/>
        </w:rPr>
        <w:t>C, TIÊU CHU</w:t>
      </w:r>
      <w:r w:rsidRPr="002D71F8">
        <w:rPr>
          <w:rFonts w:ascii="Arial" w:hAnsi="Arial"/>
          <w:b/>
          <w:color w:val="000000" w:themeColor="text1"/>
          <w:sz w:val="20"/>
        </w:rPr>
        <w:t>Ẩ</w:t>
      </w:r>
      <w:r w:rsidRPr="002D71F8">
        <w:rPr>
          <w:rFonts w:ascii="Arial" w:hAnsi="Arial"/>
          <w:b/>
          <w:color w:val="000000" w:themeColor="text1"/>
          <w:sz w:val="20"/>
        </w:rPr>
        <w:t>N, M</w:t>
      </w:r>
      <w:r w:rsidRPr="002D71F8">
        <w:rPr>
          <w:rFonts w:ascii="Arial" w:hAnsi="Arial"/>
          <w:b/>
          <w:color w:val="000000" w:themeColor="text1"/>
          <w:sz w:val="20"/>
        </w:rPr>
        <w:t>Ứ</w:t>
      </w:r>
      <w:r w:rsidRPr="002D71F8">
        <w:rPr>
          <w:rFonts w:ascii="Arial" w:hAnsi="Arial"/>
          <w:b/>
          <w:color w:val="000000" w:themeColor="text1"/>
          <w:sz w:val="20"/>
        </w:rPr>
        <w:t>C VÀ TH</w:t>
      </w:r>
      <w:r w:rsidRPr="002D71F8">
        <w:rPr>
          <w:rFonts w:ascii="Arial" w:hAnsi="Arial"/>
          <w:b/>
          <w:color w:val="000000" w:themeColor="text1"/>
          <w:sz w:val="20"/>
        </w:rPr>
        <w:t>Ờ</w:t>
      </w:r>
      <w:r w:rsidRPr="002D71F8">
        <w:rPr>
          <w:rFonts w:ascii="Arial" w:hAnsi="Arial"/>
          <w:b/>
          <w:color w:val="000000" w:themeColor="text1"/>
          <w:sz w:val="20"/>
        </w:rPr>
        <w:t>I GIAN C</w:t>
      </w:r>
      <w:r w:rsidRPr="002D71F8">
        <w:rPr>
          <w:rFonts w:ascii="Arial" w:hAnsi="Arial"/>
          <w:b/>
          <w:color w:val="000000" w:themeColor="text1"/>
          <w:sz w:val="20"/>
        </w:rPr>
        <w:t>Ấ</w:t>
      </w:r>
      <w:r w:rsidRPr="002D71F8">
        <w:rPr>
          <w:rFonts w:ascii="Arial" w:hAnsi="Arial"/>
          <w:b/>
          <w:color w:val="000000" w:themeColor="text1"/>
          <w:sz w:val="20"/>
        </w:rPr>
        <w:t>P</w:t>
      </w:r>
      <w:r w:rsidR="002D71F8">
        <w:rPr>
          <w:rFonts w:ascii="Arial" w:hAnsi="Arial"/>
          <w:b/>
          <w:color w:val="000000" w:themeColor="text1"/>
          <w:sz w:val="20"/>
        </w:rPr>
        <w:br/>
      </w:r>
      <w:r w:rsidRPr="002D71F8">
        <w:rPr>
          <w:rFonts w:ascii="Arial" w:hAnsi="Arial"/>
          <w:b/>
          <w:color w:val="000000" w:themeColor="text1"/>
          <w:sz w:val="20"/>
        </w:rPr>
        <w:t>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NG, TH</w:t>
      </w:r>
      <w:r w:rsidRPr="002D71F8">
        <w:rPr>
          <w:rFonts w:ascii="Arial" w:hAnsi="Arial"/>
          <w:b/>
          <w:color w:val="000000" w:themeColor="text1"/>
          <w:sz w:val="20"/>
        </w:rPr>
        <w:t>Ẩ</w:t>
      </w:r>
      <w:r w:rsidRPr="002D71F8">
        <w:rPr>
          <w:rFonts w:ascii="Arial" w:hAnsi="Arial"/>
          <w:b/>
          <w:color w:val="000000" w:themeColor="text1"/>
          <w:sz w:val="20"/>
        </w:rPr>
        <w:t>M QUY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N XÉT DUY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T VÀ CHI TR</w:t>
      </w:r>
      <w:r w:rsidRPr="002D71F8">
        <w:rPr>
          <w:rFonts w:ascii="Arial" w:hAnsi="Arial"/>
          <w:b/>
          <w:color w:val="000000" w:themeColor="text1"/>
          <w:sz w:val="20"/>
        </w:rPr>
        <w:t>Ả</w:t>
      </w:r>
      <w:r w:rsidRPr="002D71F8">
        <w:rPr>
          <w:rFonts w:ascii="Arial" w:hAnsi="Arial"/>
          <w:b/>
          <w:color w:val="000000" w:themeColor="text1"/>
          <w:sz w:val="20"/>
        </w:rPr>
        <w:t xml:space="preserve">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045DFE1B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57A5FAB5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4. Nguyên t</w:t>
      </w:r>
      <w:r w:rsidRPr="002D71F8">
        <w:rPr>
          <w:rFonts w:ascii="Arial" w:hAnsi="Arial"/>
          <w:b/>
          <w:color w:val="000000" w:themeColor="text1"/>
          <w:sz w:val="20"/>
        </w:rPr>
        <w:t>ắ</w:t>
      </w:r>
      <w:r w:rsidRPr="002D71F8">
        <w:rPr>
          <w:rFonts w:ascii="Arial" w:hAnsi="Arial"/>
          <w:b/>
          <w:color w:val="000000" w:themeColor="text1"/>
          <w:sz w:val="20"/>
        </w:rPr>
        <w:t>c</w:t>
      </w:r>
    </w:p>
    <w:p w14:paraId="158FE7B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1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2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c, trong toàn khóa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 xml:space="preserve">c khi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tiêu chu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n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</w:t>
      </w:r>
      <w:r w:rsidRPr="002D71F8">
        <w:rPr>
          <w:rFonts w:ascii="Arial" w:hAnsi="Arial"/>
          <w:color w:val="000000" w:themeColor="text1"/>
          <w:sz w:val="20"/>
        </w:rPr>
        <w:t>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5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và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cơ s</w:t>
      </w:r>
      <w:r w:rsidRPr="002D71F8">
        <w:rPr>
          <w:rFonts w:ascii="Arial" w:hAnsi="Arial"/>
          <w:color w:val="000000" w:themeColor="text1"/>
          <w:sz w:val="20"/>
        </w:rPr>
        <w:t>ở</w:t>
      </w:r>
      <w:bookmarkStart w:id="0" w:name="_GoBack"/>
      <w:bookmarkEnd w:id="0"/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4CB84765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lastRenderedPageBreak/>
        <w:t>2.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nhi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ngành, nhi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m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t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nhi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thì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m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t ngà</w:t>
      </w:r>
      <w:r w:rsidRPr="002D71F8">
        <w:rPr>
          <w:rFonts w:ascii="Arial" w:hAnsi="Arial"/>
          <w:color w:val="000000" w:themeColor="text1"/>
          <w:sz w:val="20"/>
        </w:rPr>
        <w:t>nh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m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t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</w:t>
      </w:r>
    </w:p>
    <w:p w14:paraId="5497BC3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nhi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có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thì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l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a ch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01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ng, tr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có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khác.</w:t>
      </w:r>
    </w:p>
    <w:p w14:paraId="5C1C719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chuy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ngành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</w:t>
      </w:r>
      <w:r w:rsidRPr="002D71F8">
        <w:rPr>
          <w:rFonts w:ascii="Arial" w:hAnsi="Arial"/>
          <w:color w:val="000000" w:themeColor="text1"/>
          <w:sz w:val="20"/>
        </w:rPr>
        <w:t xml:space="preserve"> chuy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xét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ngành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m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m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u ngành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m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m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vi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và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 xml:space="preserve">c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các tiêu chu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4A3F292A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5. Tiêu chu</w:t>
      </w:r>
      <w:r w:rsidRPr="002D71F8">
        <w:rPr>
          <w:rFonts w:ascii="Arial" w:hAnsi="Arial"/>
          <w:b/>
          <w:color w:val="000000" w:themeColor="text1"/>
          <w:sz w:val="20"/>
        </w:rPr>
        <w:t>ẩ</w:t>
      </w:r>
      <w:r w:rsidRPr="002D71F8">
        <w:rPr>
          <w:rFonts w:ascii="Arial" w:hAnsi="Arial"/>
          <w:b/>
          <w:color w:val="000000" w:themeColor="text1"/>
          <w:sz w:val="20"/>
        </w:rPr>
        <w:t>n đư</w:t>
      </w:r>
      <w:r w:rsidRPr="002D71F8">
        <w:rPr>
          <w:rFonts w:ascii="Arial" w:hAnsi="Arial"/>
          <w:b/>
          <w:color w:val="000000" w:themeColor="text1"/>
          <w:sz w:val="20"/>
        </w:rPr>
        <w:t>ợ</w:t>
      </w:r>
      <w:r w:rsidRPr="002D71F8">
        <w:rPr>
          <w:rFonts w:ascii="Arial" w:hAnsi="Arial"/>
          <w:b/>
          <w:color w:val="000000" w:themeColor="text1"/>
          <w:sz w:val="20"/>
        </w:rPr>
        <w:t>c hư</w:t>
      </w:r>
      <w:r w:rsidRPr="002D71F8">
        <w:rPr>
          <w:rFonts w:ascii="Arial" w:hAnsi="Arial"/>
          <w:b/>
          <w:color w:val="000000" w:themeColor="text1"/>
          <w:sz w:val="20"/>
        </w:rPr>
        <w:t>ở</w:t>
      </w:r>
      <w:r w:rsidRPr="002D71F8">
        <w:rPr>
          <w:rFonts w:ascii="Arial" w:hAnsi="Arial"/>
          <w:b/>
          <w:color w:val="000000" w:themeColor="text1"/>
          <w:sz w:val="20"/>
        </w:rPr>
        <w:t>ng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741B12A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vào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 các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danh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các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 do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phê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4DA6E40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vào chương trình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nhân,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sư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danh sách các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do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phê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1686170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vào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nhân,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sư các ngành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nhóm ngành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3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nh này,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m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t trong các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sau:</w:t>
      </w:r>
    </w:p>
    <w:p w14:paraId="312EAD3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gi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nh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t, nhì, ba trong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 xml:space="preserve"> thi ch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sinh gi</w:t>
      </w:r>
      <w:r w:rsidRPr="002D71F8">
        <w:rPr>
          <w:rFonts w:ascii="Arial" w:hAnsi="Arial"/>
          <w:color w:val="000000" w:themeColor="text1"/>
          <w:sz w:val="20"/>
        </w:rPr>
        <w:t>ỏ</w:t>
      </w:r>
      <w:r w:rsidRPr="002D71F8">
        <w:rPr>
          <w:rFonts w:ascii="Arial" w:hAnsi="Arial"/>
          <w:color w:val="000000" w:themeColor="text1"/>
          <w:sz w:val="20"/>
        </w:rPr>
        <w:t>i qu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c gia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qu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dành cho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sinh trung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thông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o;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gi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không quá 03 năm tính t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t;</w:t>
      </w:r>
    </w:p>
    <w:p w14:paraId="66B7842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môn Toán và hai trong các môn V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lí, Hoá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c, Sinh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và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ng Anh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 xml:space="preserve"> thi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nghi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p trung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thông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22,50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lên theo thang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30 không bao g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m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ưu tiên,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c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ng và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nhóm 30% thí sinh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trúng t</w:t>
      </w:r>
      <w:r w:rsidRPr="002D71F8">
        <w:rPr>
          <w:rFonts w:ascii="Arial" w:hAnsi="Arial"/>
          <w:color w:val="000000" w:themeColor="text1"/>
          <w:sz w:val="20"/>
        </w:rPr>
        <w:t>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cao nh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cùng nhóm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trên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vi toàn qu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c trong đ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t xét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chung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năm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sinh.</w:t>
      </w:r>
    </w:p>
    <w:p w14:paraId="2956757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vào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tích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 xml:space="preserve">c sĩ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các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2 và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3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này.</w:t>
      </w:r>
    </w:p>
    <w:p w14:paraId="74E5E64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5.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khi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sĩ,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danh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các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do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phê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trúng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sĩ,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 theo hình th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chính q</w:t>
      </w:r>
      <w:r w:rsidRPr="002D71F8">
        <w:rPr>
          <w:rFonts w:ascii="Arial" w:hAnsi="Arial"/>
          <w:color w:val="000000" w:themeColor="text1"/>
          <w:sz w:val="20"/>
        </w:rPr>
        <w:t>uy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trung toàn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các ngành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nhóm ngành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3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32C0B9B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6.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khi không b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k</w:t>
      </w:r>
      <w:r w:rsidRPr="002D71F8">
        <w:rPr>
          <w:rFonts w:ascii="Arial" w:hAnsi="Arial"/>
          <w:color w:val="000000" w:themeColor="text1"/>
          <w:sz w:val="20"/>
        </w:rPr>
        <w:t>ỷ</w:t>
      </w:r>
      <w:r w:rsidRPr="002D71F8">
        <w:rPr>
          <w:rFonts w:ascii="Arial" w:hAnsi="Arial"/>
          <w:color w:val="000000" w:themeColor="text1"/>
          <w:sz w:val="20"/>
        </w:rPr>
        <w:t xml:space="preserve">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khi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trách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lên trong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 xml:space="preserve"> xét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ng và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u:</w:t>
      </w:r>
    </w:p>
    <w:p w14:paraId="26A08B4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sinh viên chươn</w:t>
      </w:r>
      <w:r w:rsidRPr="002D71F8">
        <w:rPr>
          <w:rFonts w:ascii="Arial" w:hAnsi="Arial"/>
          <w:color w:val="000000" w:themeColor="text1"/>
          <w:sz w:val="20"/>
        </w:rPr>
        <w:t>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nhân,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sư,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tích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p: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trung bình tích lũy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li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trư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lo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khá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lên và tích lũy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u 24 tín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sau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tiên,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u 28 tín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trong m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t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k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 xml:space="preserve"> hai;</w:t>
      </w:r>
    </w:p>
    <w:p w14:paraId="780AE8D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viên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sĩ,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tích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p: sau năm th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 xml:space="preserve"> nh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tích lũy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u 40%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tín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o, có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trung bình tích lũy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u 3,0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lên theo thang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4 và có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và công b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o;</w:t>
      </w:r>
    </w:p>
    <w:p w14:paraId="5592A09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sĩ: có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và công b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</w:t>
      </w:r>
    </w:p>
    <w:p w14:paraId="7526EA9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7.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không đ</w:t>
      </w:r>
      <w:r w:rsidRPr="002D71F8">
        <w:rPr>
          <w:rFonts w:ascii="Arial" w:hAnsi="Arial"/>
          <w:color w:val="000000" w:themeColor="text1"/>
          <w:sz w:val="20"/>
        </w:rPr>
        <w:t>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chuy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sang ngành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không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3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này, tr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có lý do khách quan, b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kh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kháng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chuy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ngành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</w:t>
      </w:r>
      <w:r w:rsidRPr="002D71F8">
        <w:rPr>
          <w:rFonts w:ascii="Arial" w:hAnsi="Arial"/>
          <w:color w:val="000000" w:themeColor="text1"/>
          <w:sz w:val="20"/>
        </w:rPr>
        <w:t xml:space="preserve"> chuy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không còn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thì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n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đã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 thông qua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</w:t>
      </w:r>
    </w:p>
    <w:p w14:paraId="7103604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8.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đa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m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>i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b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chu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n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</w:t>
      </w:r>
    </w:p>
    <w:p w14:paraId="2990619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6. M</w:t>
      </w:r>
      <w:r w:rsidRPr="002D71F8">
        <w:rPr>
          <w:rFonts w:ascii="Arial" w:hAnsi="Arial"/>
          <w:b/>
          <w:color w:val="000000" w:themeColor="text1"/>
          <w:sz w:val="20"/>
        </w:rPr>
        <w:t>ứ</w:t>
      </w:r>
      <w:r w:rsidRPr="002D71F8">
        <w:rPr>
          <w:rFonts w:ascii="Arial" w:hAnsi="Arial"/>
          <w:b/>
          <w:color w:val="000000" w:themeColor="text1"/>
          <w:sz w:val="20"/>
        </w:rPr>
        <w:t>c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 và th</w:t>
      </w:r>
      <w:r w:rsidRPr="002D71F8">
        <w:rPr>
          <w:rFonts w:ascii="Arial" w:hAnsi="Arial"/>
          <w:b/>
          <w:color w:val="000000" w:themeColor="text1"/>
          <w:sz w:val="20"/>
        </w:rPr>
        <w:t>ờ</w:t>
      </w:r>
      <w:r w:rsidRPr="002D71F8">
        <w:rPr>
          <w:rFonts w:ascii="Arial" w:hAnsi="Arial"/>
          <w:b/>
          <w:color w:val="000000" w:themeColor="text1"/>
          <w:sz w:val="20"/>
        </w:rPr>
        <w:t>i gian c</w:t>
      </w:r>
      <w:r w:rsidRPr="002D71F8">
        <w:rPr>
          <w:rFonts w:ascii="Arial" w:hAnsi="Arial"/>
          <w:b/>
          <w:color w:val="000000" w:themeColor="text1"/>
          <w:sz w:val="20"/>
        </w:rPr>
        <w:t>ấ</w:t>
      </w:r>
      <w:r w:rsidRPr="002D71F8">
        <w:rPr>
          <w:rFonts w:ascii="Arial" w:hAnsi="Arial"/>
          <w:b/>
          <w:color w:val="000000" w:themeColor="text1"/>
          <w:sz w:val="20"/>
        </w:rPr>
        <w:t>p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22FC14A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</w:t>
      </w:r>
    </w:p>
    <w:p w14:paraId="3BB112C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lastRenderedPageBreak/>
        <w:t>a)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: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o,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phát tri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nhân l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và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ưu tiên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nhóm n</w:t>
      </w:r>
      <w:r w:rsidRPr="002D71F8">
        <w:rPr>
          <w:rFonts w:ascii="Arial" w:hAnsi="Arial"/>
          <w:color w:val="000000" w:themeColor="text1"/>
          <w:sz w:val="20"/>
        </w:rPr>
        <w:t>gành;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kinh t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- xã h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i, m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t b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chi phí sinh ho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và kh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năng cân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trong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>;</w:t>
      </w:r>
    </w:p>
    <w:p w14:paraId="13291F8D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m: Đáp 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nhu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chi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p, sinh ho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t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thi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u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c; có tính khuy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khích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</w:t>
      </w:r>
      <w:r w:rsidRPr="002D71F8">
        <w:rPr>
          <w:rFonts w:ascii="Arial" w:hAnsi="Arial"/>
          <w:color w:val="000000" w:themeColor="text1"/>
          <w:sz w:val="20"/>
        </w:rPr>
        <w:t xml:space="preserve">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n,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c; tương quan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lý gi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>a các nhóm ngành và gi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>a các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o;</w:t>
      </w:r>
    </w:p>
    <w:p w14:paraId="2BAC28D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theo 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tăng d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n, trong đó: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cao hơn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c;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cao hơn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sĩ;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phù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o,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và đóng góp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 xml:space="preserve">c 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;</w:t>
      </w:r>
    </w:p>
    <w:p w14:paraId="06A84216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d)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theo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nhóm chương trình,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trong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vi khung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2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này,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không vư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t quá kh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năng cân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7FFC086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ng: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tháng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theo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và nhóm chương trình,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nh</w:t>
      </w:r>
      <w:r w:rsidRPr="002D71F8">
        <w:rPr>
          <w:rFonts w:ascii="Arial" w:hAnsi="Arial"/>
          <w:color w:val="000000" w:themeColor="text1"/>
          <w:sz w:val="20"/>
        </w:rPr>
        <w:t>ư sau:</w:t>
      </w:r>
    </w:p>
    <w:p w14:paraId="02DA4889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sinh viên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c:</w:t>
      </w:r>
    </w:p>
    <w:p w14:paraId="0B1D546A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năng: 5.500.000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ng/tháng;</w:t>
      </w:r>
    </w:p>
    <w:p w14:paraId="7F3C132A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ngành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n,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n: 4.200.000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ng/tháng;</w:t>
      </w:r>
    </w:p>
    <w:p w14:paraId="3EB82CF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các ngành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</w:t>
      </w:r>
      <w:r w:rsidRPr="002D71F8">
        <w:rPr>
          <w:rFonts w:ascii="Arial" w:hAnsi="Arial"/>
          <w:color w:val="000000" w:themeColor="text1"/>
          <w:sz w:val="20"/>
        </w:rPr>
        <w:t>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c: 3.700.000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ng/tháng.</w:t>
      </w:r>
    </w:p>
    <w:p w14:paraId="3AA2781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viên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sĩ:</w:t>
      </w:r>
    </w:p>
    <w:p w14:paraId="05E6F61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năng: 7.400.000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ng/tháng;</w:t>
      </w:r>
    </w:p>
    <w:p w14:paraId="087A6B2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ngành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n,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n: 6.300.000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ng/tháng;</w:t>
      </w:r>
    </w:p>
    <w:p w14:paraId="5B6D788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các ngành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</w:t>
      </w:r>
      <w:r w:rsidRPr="002D71F8">
        <w:rPr>
          <w:rFonts w:ascii="Arial" w:hAnsi="Arial"/>
          <w:color w:val="000000" w:themeColor="text1"/>
          <w:sz w:val="20"/>
        </w:rPr>
        <w:t xml:space="preserve">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c: 5.500.000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ng/tháng.</w:t>
      </w:r>
    </w:p>
    <w:p w14:paraId="11B4D5B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sĩ:</w:t>
      </w:r>
    </w:p>
    <w:p w14:paraId="61769F3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tài năng,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ngành vi m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bán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n, các ngành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cơ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n: 8.400.000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ng/tháng;</w:t>
      </w:r>
    </w:p>
    <w:p w14:paraId="1EC62E56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các ngàn</w:t>
      </w:r>
      <w:r w:rsidRPr="002D71F8">
        <w:rPr>
          <w:rFonts w:ascii="Arial" w:hAnsi="Arial"/>
          <w:color w:val="000000" w:themeColor="text1"/>
          <w:sz w:val="20"/>
        </w:rPr>
        <w:t>h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then ch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t và công ngh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c: 7.400.000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ng/tháng.</w:t>
      </w:r>
    </w:p>
    <w:p w14:paraId="33EC65A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</w:t>
      </w:r>
    </w:p>
    <w:p w14:paraId="0F05357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Sinh viên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10 tháng/năm;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không quá 04 năm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nhân và không quá 05 năm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chương tr</w:t>
      </w:r>
      <w:r w:rsidRPr="002D71F8">
        <w:rPr>
          <w:rFonts w:ascii="Arial" w:hAnsi="Arial"/>
          <w:color w:val="000000" w:themeColor="text1"/>
          <w:sz w:val="20"/>
        </w:rPr>
        <w:t>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k</w:t>
      </w:r>
      <w:r w:rsidRPr="002D71F8">
        <w:rPr>
          <w:rFonts w:ascii="Arial" w:hAnsi="Arial"/>
          <w:color w:val="000000" w:themeColor="text1"/>
          <w:sz w:val="20"/>
        </w:rPr>
        <w:t>ỹ</w:t>
      </w:r>
      <w:r w:rsidRPr="002D71F8">
        <w:rPr>
          <w:rFonts w:ascii="Arial" w:hAnsi="Arial"/>
          <w:color w:val="000000" w:themeColor="text1"/>
          <w:sz w:val="20"/>
        </w:rPr>
        <w:t xml:space="preserve"> sư có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tín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150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lên;</w:t>
      </w:r>
    </w:p>
    <w:p w14:paraId="55E05EEF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viên cao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12 tháng/năm;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không quá 02 năm;</w:t>
      </w:r>
    </w:p>
    <w:p w14:paraId="1BA6CEB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12 tháng/năm;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không quá 03 năm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có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vào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sĩ, không quá 04 năm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sinh có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vào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c;</w:t>
      </w:r>
    </w:p>
    <w:p w14:paraId="69551ECA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d)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chương trình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tích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trình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 sĩ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12 tháng/năm trong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gian không quá 3 năm t</w:t>
      </w:r>
      <w:r w:rsidRPr="002D71F8">
        <w:rPr>
          <w:rFonts w:ascii="Arial" w:hAnsi="Arial"/>
          <w:color w:val="000000" w:themeColor="text1"/>
          <w:sz w:val="20"/>
        </w:rPr>
        <w:t>heo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sinh viên đ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và không quá 2 năm theo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viên cao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018B233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7. Th</w:t>
      </w:r>
      <w:r w:rsidRPr="002D71F8">
        <w:rPr>
          <w:rFonts w:ascii="Arial" w:hAnsi="Arial"/>
          <w:b/>
          <w:color w:val="000000" w:themeColor="text1"/>
          <w:sz w:val="20"/>
        </w:rPr>
        <w:t>ẩ</w:t>
      </w:r>
      <w:r w:rsidRPr="002D71F8">
        <w:rPr>
          <w:rFonts w:ascii="Arial" w:hAnsi="Arial"/>
          <w:b/>
          <w:color w:val="000000" w:themeColor="text1"/>
          <w:sz w:val="20"/>
        </w:rPr>
        <w:t>m quy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n xét duy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t và chi tr</w:t>
      </w:r>
      <w:r w:rsidRPr="002D71F8">
        <w:rPr>
          <w:rFonts w:ascii="Arial" w:hAnsi="Arial"/>
          <w:b/>
          <w:color w:val="000000" w:themeColor="text1"/>
          <w:sz w:val="20"/>
        </w:rPr>
        <w:t>ả</w:t>
      </w:r>
      <w:r w:rsidRPr="002D71F8">
        <w:rPr>
          <w:rFonts w:ascii="Arial" w:hAnsi="Arial"/>
          <w:b/>
          <w:color w:val="000000" w:themeColor="text1"/>
          <w:sz w:val="20"/>
        </w:rPr>
        <w:t xml:space="preserve">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51D1F9A6" w14:textId="77777777" w:rsidR="009B5FE3" w:rsidRPr="002D71F8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và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 xml:space="preserve"> theo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sinh,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 xml:space="preserve">p và rèn </w:t>
      </w:r>
      <w:r w:rsidRPr="002D71F8">
        <w:rPr>
          <w:rFonts w:ascii="Arial" w:hAnsi="Arial"/>
          <w:color w:val="000000" w:themeColor="text1"/>
          <w:sz w:val="20"/>
        </w:rPr>
        <w:t>luy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do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lý;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theo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>ng tháng và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tháng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đúng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ch;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 xml:space="preserve"> li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s</w:t>
      </w:r>
      <w:r w:rsidRPr="002D71F8">
        <w:rPr>
          <w:rFonts w:ascii="Arial" w:hAnsi="Arial"/>
          <w:color w:val="000000" w:themeColor="text1"/>
          <w:sz w:val="20"/>
        </w:rPr>
        <w:t>ẵ</w:t>
      </w:r>
      <w:r w:rsidRPr="002D71F8">
        <w:rPr>
          <w:rFonts w:ascii="Arial" w:hAnsi="Arial"/>
          <w:color w:val="000000" w:themeColor="text1"/>
          <w:sz w:val="20"/>
        </w:rPr>
        <w:t>n có, không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 và không làm phát sinh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hành chính.</w:t>
      </w:r>
    </w:p>
    <w:p w14:paraId="1424FD59" w14:textId="77777777" w:rsid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</w:p>
    <w:p w14:paraId="7F632FE4" w14:textId="381837E4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 xml:space="preserve">Chương III </w:t>
      </w:r>
    </w:p>
    <w:p w14:paraId="1B313A49" w14:textId="4C83D281" w:rsidR="009B5FE3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L</w:t>
      </w:r>
      <w:r w:rsidRPr="002D71F8">
        <w:rPr>
          <w:rFonts w:ascii="Arial" w:hAnsi="Arial"/>
          <w:b/>
          <w:color w:val="000000" w:themeColor="text1"/>
          <w:sz w:val="20"/>
        </w:rPr>
        <w:t>Ậ</w:t>
      </w:r>
      <w:r w:rsidRPr="002D71F8">
        <w:rPr>
          <w:rFonts w:ascii="Arial" w:hAnsi="Arial"/>
          <w:b/>
          <w:color w:val="000000" w:themeColor="text1"/>
          <w:sz w:val="20"/>
        </w:rPr>
        <w:t>P, PHÂN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 xml:space="preserve"> D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 xml:space="preserve"> TOÁN, QUY</w:t>
      </w:r>
      <w:r w:rsidRPr="002D71F8">
        <w:rPr>
          <w:rFonts w:ascii="Arial" w:hAnsi="Arial"/>
          <w:b/>
          <w:color w:val="000000" w:themeColor="text1"/>
          <w:sz w:val="20"/>
        </w:rPr>
        <w:t>Ế</w:t>
      </w:r>
      <w:r w:rsidRPr="002D71F8">
        <w:rPr>
          <w:rFonts w:ascii="Arial" w:hAnsi="Arial"/>
          <w:b/>
          <w:color w:val="000000" w:themeColor="text1"/>
          <w:sz w:val="20"/>
        </w:rPr>
        <w:t xml:space="preserve">T TOÁN </w:t>
      </w:r>
      <w:r w:rsidR="0051604E">
        <w:rPr>
          <w:rFonts w:ascii="Arial" w:hAnsi="Arial"/>
          <w:b/>
          <w:color w:val="000000" w:themeColor="text1"/>
          <w:sz w:val="20"/>
        </w:rPr>
        <w:br/>
      </w:r>
      <w:r w:rsidRPr="002D71F8">
        <w:rPr>
          <w:rFonts w:ascii="Arial" w:hAnsi="Arial"/>
          <w:b/>
          <w:color w:val="000000" w:themeColor="text1"/>
          <w:sz w:val="20"/>
        </w:rPr>
        <w:t>TH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N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34B0B687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4A95D11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8. L</w:t>
      </w:r>
      <w:r w:rsidRPr="002D71F8">
        <w:rPr>
          <w:rFonts w:ascii="Arial" w:hAnsi="Arial"/>
          <w:b/>
          <w:color w:val="000000" w:themeColor="text1"/>
          <w:sz w:val="20"/>
        </w:rPr>
        <w:t>ậ</w:t>
      </w:r>
      <w:r w:rsidRPr="002D71F8">
        <w:rPr>
          <w:rFonts w:ascii="Arial" w:hAnsi="Arial"/>
          <w:b/>
          <w:color w:val="000000" w:themeColor="text1"/>
          <w:sz w:val="20"/>
        </w:rPr>
        <w:t>p d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n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70845A7D" w14:textId="7E598D04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H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năm, căn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Chính ph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xây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ng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ho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phát tri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kinh t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- xã h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 và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năm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ho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ch; hư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xây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c,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,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</w:t>
      </w:r>
      <w:r w:rsidRPr="002D71F8">
        <w:rPr>
          <w:rFonts w:ascii="Arial" w:hAnsi="Arial"/>
          <w:color w:val="000000" w:themeColor="text1"/>
          <w:sz w:val="20"/>
        </w:rPr>
        <w:t>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và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xây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2090718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căn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xây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chung trong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chi ngân sách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cơ quan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trên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605F6B0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vào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479AE854" w14:textId="3D5A028A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đang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cá</w:t>
      </w:r>
      <w:r w:rsidRPr="002D71F8">
        <w:rPr>
          <w:rFonts w:ascii="Arial" w:hAnsi="Arial"/>
          <w:color w:val="000000" w:themeColor="text1"/>
          <w:sz w:val="20"/>
        </w:rPr>
        <w:t>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tư th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c: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tư th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cung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, k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p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li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cơ quan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theo phân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p.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li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do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tư th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cu</w:t>
      </w:r>
      <w:r w:rsidRPr="002D71F8">
        <w:rPr>
          <w:rFonts w:ascii="Arial" w:hAnsi="Arial"/>
          <w:color w:val="000000" w:themeColor="text1"/>
          <w:sz w:val="20"/>
        </w:rPr>
        <w:t>ng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 xml:space="preserve">p,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vào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năm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 Cơ quan tài chính cùng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(S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Tài chính) ch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trì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nh, tham mưu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trình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có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và giao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cho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n.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c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giao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(S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cơ quan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c 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y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t,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và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the</w:t>
      </w:r>
      <w:r w:rsidRPr="002D71F8">
        <w:rPr>
          <w:rFonts w:ascii="Arial" w:hAnsi="Arial"/>
          <w:color w:val="000000" w:themeColor="text1"/>
          <w:sz w:val="20"/>
        </w:rPr>
        <w:t>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 phí; ch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u s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tra, giám sát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quan tài chính và cơ quan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1CCFBC1B" w14:textId="0E19B8ED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và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</w:t>
      </w:r>
      <w:r w:rsidRPr="002D71F8">
        <w:rPr>
          <w:rFonts w:ascii="Arial" w:hAnsi="Arial"/>
          <w:color w:val="000000" w:themeColor="text1"/>
          <w:sz w:val="20"/>
        </w:rPr>
        <w:t>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nhu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vi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trong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năm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theo dõi,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công tác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chính sách.</w:t>
      </w:r>
    </w:p>
    <w:p w14:paraId="6870064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5.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nhu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tr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trình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 xml:space="preserve">t </w:t>
      </w:r>
      <w:r w:rsidRPr="002D71F8">
        <w:rPr>
          <w:rFonts w:ascii="Arial" w:hAnsi="Arial"/>
          <w:color w:val="000000" w:themeColor="text1"/>
          <w:sz w:val="20"/>
        </w:rPr>
        <w:t>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2CAD29DC" w14:textId="7C7B143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9. Phân b</w:t>
      </w:r>
      <w:r w:rsidR="00AA4FA9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 xml:space="preserve"> và giao d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n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0A2B9785" w14:textId="5E2B4D9B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Căn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giao,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, cơ quan trung ương và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phân b</w:t>
      </w:r>
      <w:r w:rsidR="00AA4FA9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, giao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</w:t>
      </w:r>
      <w:r w:rsidRPr="002D71F8">
        <w:rPr>
          <w:rFonts w:ascii="Arial" w:hAnsi="Arial"/>
          <w:color w:val="000000" w:themeColor="text1"/>
          <w:sz w:val="20"/>
        </w:rPr>
        <w:t>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các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và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công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vi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45607E7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phân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, giao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m:</w:t>
      </w:r>
    </w:p>
    <w:p w14:paraId="21DF869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Đúng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tiêu,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 dung chi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này;</w:t>
      </w:r>
    </w:p>
    <w:p w14:paraId="173A80D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ch, ti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m,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;</w:t>
      </w:r>
    </w:p>
    <w:p w14:paraId="3A6E280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Phù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lư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và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6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2F025F8C" w14:textId="7C16701B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đang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tư th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c,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giao cho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c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giao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thông qua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quan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đúng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và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091850E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công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phân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và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kinh phí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giao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theo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theo dõi, 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toá</w:t>
      </w:r>
      <w:r w:rsidRPr="002D71F8">
        <w:rPr>
          <w:rFonts w:ascii="Arial" w:hAnsi="Arial"/>
          <w:color w:val="000000" w:themeColor="text1"/>
          <w:sz w:val="20"/>
        </w:rPr>
        <w:t xml:space="preserve">n riêng </w:t>
      </w:r>
      <w:r w:rsidRPr="002D71F8">
        <w:rPr>
          <w:rFonts w:ascii="Arial" w:hAnsi="Arial"/>
          <w:color w:val="000000" w:themeColor="text1"/>
          <w:sz w:val="20"/>
        </w:rPr>
        <w:lastRenderedPageBreak/>
        <w:t>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và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t.</w:t>
      </w:r>
    </w:p>
    <w:p w14:paraId="04E3AB79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10. Qu</w:t>
      </w:r>
      <w:r w:rsidRPr="002D71F8">
        <w:rPr>
          <w:rFonts w:ascii="Arial" w:hAnsi="Arial"/>
          <w:b/>
          <w:color w:val="000000" w:themeColor="text1"/>
          <w:sz w:val="20"/>
        </w:rPr>
        <w:t>ả</w:t>
      </w:r>
      <w:r w:rsidRPr="002D71F8">
        <w:rPr>
          <w:rFonts w:ascii="Arial" w:hAnsi="Arial"/>
          <w:b/>
          <w:color w:val="000000" w:themeColor="text1"/>
          <w:sz w:val="20"/>
        </w:rPr>
        <w:t>n lý, s</w:t>
      </w:r>
      <w:r w:rsidRPr="002D71F8">
        <w:rPr>
          <w:rFonts w:ascii="Arial" w:hAnsi="Arial"/>
          <w:b/>
          <w:color w:val="000000" w:themeColor="text1"/>
          <w:sz w:val="20"/>
        </w:rPr>
        <w:t>ử</w:t>
      </w:r>
      <w:r w:rsidRPr="002D71F8">
        <w:rPr>
          <w:rFonts w:ascii="Arial" w:hAnsi="Arial"/>
          <w:b/>
          <w:color w:val="000000" w:themeColor="text1"/>
          <w:sz w:val="20"/>
        </w:rPr>
        <w:t xml:space="preserve"> d</w:t>
      </w:r>
      <w:r w:rsidRPr="002D71F8">
        <w:rPr>
          <w:rFonts w:ascii="Arial" w:hAnsi="Arial"/>
          <w:b/>
          <w:color w:val="000000" w:themeColor="text1"/>
          <w:sz w:val="20"/>
        </w:rPr>
        <w:t>ụ</w:t>
      </w:r>
      <w:r w:rsidRPr="002D71F8">
        <w:rPr>
          <w:rFonts w:ascii="Arial" w:hAnsi="Arial"/>
          <w:b/>
          <w:color w:val="000000" w:themeColor="text1"/>
          <w:sz w:val="20"/>
        </w:rPr>
        <w:t>ng và quy</w:t>
      </w:r>
      <w:r w:rsidRPr="002D71F8">
        <w:rPr>
          <w:rFonts w:ascii="Arial" w:hAnsi="Arial"/>
          <w:b/>
          <w:color w:val="000000" w:themeColor="text1"/>
          <w:sz w:val="20"/>
        </w:rPr>
        <w:t>ế</w:t>
      </w:r>
      <w:r w:rsidRPr="002D71F8">
        <w:rPr>
          <w:rFonts w:ascii="Arial" w:hAnsi="Arial"/>
          <w:b/>
          <w:color w:val="000000" w:themeColor="text1"/>
          <w:sz w:val="20"/>
        </w:rPr>
        <w:t>t toán kinh phí th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n chính sách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</w:t>
      </w:r>
    </w:p>
    <w:p w14:paraId="2D35EB5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đúng</w:t>
      </w:r>
      <w:r w:rsidRPr="002D71F8">
        <w:rPr>
          <w:rFonts w:ascii="Arial" w:hAnsi="Arial"/>
          <w:color w:val="000000" w:themeColor="text1"/>
          <w:sz w:val="20"/>
        </w:rPr>
        <w:t xml:space="preserve">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đích, đúng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đúng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và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089347A6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k</w:t>
      </w:r>
      <w:r w:rsidRPr="002D71F8">
        <w:rPr>
          <w:rFonts w:ascii="Arial" w:hAnsi="Arial"/>
          <w:color w:val="000000" w:themeColor="text1"/>
          <w:sz w:val="20"/>
        </w:rPr>
        <w:t>ỳ</w:t>
      </w:r>
      <w:r w:rsidRPr="002D71F8">
        <w:rPr>
          <w:rFonts w:ascii="Arial" w:hAnsi="Arial"/>
          <w:color w:val="000000" w:themeColor="text1"/>
          <w:sz w:val="20"/>
        </w:rPr>
        <w:t xml:space="preserve"> theo tháng,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k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p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i,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,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ch.</w:t>
      </w:r>
    </w:p>
    <w:p w14:paraId="15305E4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công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p,</w:t>
      </w:r>
      <w:r w:rsidRPr="002D71F8">
        <w:rPr>
          <w:rFonts w:ascii="Arial" w:hAnsi="Arial"/>
          <w:color w:val="000000" w:themeColor="text1"/>
          <w:sz w:val="20"/>
        </w:rPr>
        <w:t xml:space="preserve">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giao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m:</w:t>
      </w:r>
    </w:p>
    <w:p w14:paraId="7B9CD13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xét,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danh sách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4A13BAA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đúng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đúng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c;</w:t>
      </w:r>
    </w:p>
    <w:p w14:paraId="71ED243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M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toán, 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toán riêng v</w:t>
      </w:r>
      <w:r w:rsidRPr="002D71F8">
        <w:rPr>
          <w:rFonts w:ascii="Arial" w:hAnsi="Arial"/>
          <w:color w:val="000000" w:themeColor="text1"/>
          <w:sz w:val="20"/>
        </w:rPr>
        <w:t>à lưu gi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sơ,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liên quan;</w:t>
      </w:r>
    </w:p>
    <w:p w14:paraId="3194042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d)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báo cáo,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tra, giám sát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166F93C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tư th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c, cơ quan, đơn v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giao kinh phí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danh sách </w:t>
      </w:r>
      <w:r w:rsidRPr="002D71F8">
        <w:rPr>
          <w:rFonts w:ascii="Arial" w:hAnsi="Arial"/>
          <w:color w:val="000000" w:themeColor="text1"/>
          <w:sz w:val="20"/>
        </w:rPr>
        <w:t>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do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cung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p;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tra,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chi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u,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không trùng l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p, không sai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ng.</w:t>
      </w:r>
    </w:p>
    <w:p w14:paraId="5183E8D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5.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 Kinh</w:t>
      </w:r>
      <w:r w:rsidRPr="002D71F8">
        <w:rPr>
          <w:rFonts w:ascii="Arial" w:hAnsi="Arial"/>
          <w:color w:val="000000" w:themeColor="text1"/>
          <w:sz w:val="20"/>
        </w:rPr>
        <w:t xml:space="preserve"> phí chưa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hành.</w:t>
      </w:r>
    </w:p>
    <w:p w14:paraId="4C8873DF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6.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ph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hư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và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29D1FDD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11. Ngu</w:t>
      </w:r>
      <w:r w:rsidRPr="002D71F8">
        <w:rPr>
          <w:rFonts w:ascii="Arial" w:hAnsi="Arial"/>
          <w:b/>
          <w:color w:val="000000" w:themeColor="text1"/>
          <w:sz w:val="20"/>
        </w:rPr>
        <w:t>ồ</w:t>
      </w:r>
      <w:r w:rsidRPr="002D71F8">
        <w:rPr>
          <w:rFonts w:ascii="Arial" w:hAnsi="Arial"/>
          <w:b/>
          <w:color w:val="000000" w:themeColor="text1"/>
          <w:sz w:val="20"/>
        </w:rPr>
        <w:t>n kinh phí</w:t>
      </w:r>
    </w:p>
    <w:p w14:paraId="7803F40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Kinh p</w:t>
      </w:r>
      <w:r w:rsidRPr="002D71F8">
        <w:rPr>
          <w:rFonts w:ascii="Arial" w:hAnsi="Arial"/>
          <w:color w:val="000000" w:themeColor="text1"/>
          <w:sz w:val="20"/>
        </w:rPr>
        <w:t>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phân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và các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kinh phí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pháp khác (n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u có).</w:t>
      </w:r>
    </w:p>
    <w:p w14:paraId="4AB6737C" w14:textId="77777777" w:rsidR="009B5FE3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khuy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khích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c, cá nhân,</w:t>
      </w:r>
      <w:r w:rsidRPr="002D71F8">
        <w:rPr>
          <w:rFonts w:ascii="Arial" w:hAnsi="Arial"/>
          <w:color w:val="000000" w:themeColor="text1"/>
          <w:sz w:val="20"/>
        </w:rPr>
        <w:t xml:space="preserve"> doanh nghi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p trong và ngoài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tài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,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cho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trên nguyên t</w:t>
      </w:r>
      <w:r w:rsidRPr="002D71F8">
        <w:rPr>
          <w:rFonts w:ascii="Arial" w:hAnsi="Arial"/>
          <w:color w:val="000000" w:themeColor="text1"/>
          <w:sz w:val="20"/>
        </w:rPr>
        <w:t>ắ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nguy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n,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ch, phù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t;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có th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ngoài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c, cá nhân tài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không trùng l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 dung h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các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7ACCC1DC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54793117" w14:textId="7777777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 xml:space="preserve">Chương IV </w:t>
      </w:r>
    </w:p>
    <w:p w14:paraId="485D1F6A" w14:textId="77777777" w:rsidR="009B5FE3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T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 xml:space="preserve"> CH</w:t>
      </w:r>
      <w:r w:rsidRPr="002D71F8">
        <w:rPr>
          <w:rFonts w:ascii="Arial" w:hAnsi="Arial"/>
          <w:b/>
          <w:color w:val="000000" w:themeColor="text1"/>
          <w:sz w:val="20"/>
        </w:rPr>
        <w:t>Ứ</w:t>
      </w:r>
      <w:r w:rsidRPr="002D71F8">
        <w:rPr>
          <w:rFonts w:ascii="Arial" w:hAnsi="Arial"/>
          <w:b/>
          <w:color w:val="000000" w:themeColor="text1"/>
          <w:sz w:val="20"/>
        </w:rPr>
        <w:t>C TH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N</w:t>
      </w:r>
    </w:p>
    <w:p w14:paraId="637EAB3B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378AFA1A" w14:textId="04A8442F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12. Trách nhi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m c</w:t>
      </w:r>
      <w:r w:rsidRPr="002D71F8">
        <w:rPr>
          <w:rFonts w:ascii="Arial" w:hAnsi="Arial"/>
          <w:b/>
          <w:color w:val="000000" w:themeColor="text1"/>
          <w:sz w:val="20"/>
        </w:rPr>
        <w:t>ủ</w:t>
      </w:r>
      <w:r w:rsidRPr="002D71F8">
        <w:rPr>
          <w:rFonts w:ascii="Arial" w:hAnsi="Arial"/>
          <w:b/>
          <w:color w:val="000000" w:themeColor="text1"/>
          <w:sz w:val="20"/>
        </w:rPr>
        <w:t>a các b</w:t>
      </w:r>
      <w:r w:rsidRPr="002D71F8">
        <w:rPr>
          <w:rFonts w:ascii="Arial" w:hAnsi="Arial"/>
          <w:b/>
          <w:color w:val="000000" w:themeColor="text1"/>
          <w:sz w:val="20"/>
        </w:rPr>
        <w:t>ộ</w:t>
      </w:r>
      <w:r w:rsidRPr="002D71F8">
        <w:rPr>
          <w:rFonts w:ascii="Arial" w:hAnsi="Arial"/>
          <w:b/>
          <w:color w:val="000000" w:themeColor="text1"/>
          <w:sz w:val="20"/>
        </w:rPr>
        <w:t xml:space="preserve">, cơ quan trung ương và </w:t>
      </w:r>
      <w:r w:rsidR="0051604E">
        <w:rPr>
          <w:rFonts w:ascii="Arial" w:hAnsi="Arial"/>
          <w:b/>
          <w:color w:val="000000" w:themeColor="text1"/>
          <w:sz w:val="20"/>
        </w:rPr>
        <w:t>Ủy ban</w:t>
      </w:r>
      <w:r w:rsidRPr="002D71F8">
        <w:rPr>
          <w:rFonts w:ascii="Arial" w:hAnsi="Arial"/>
          <w:b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b/>
          <w:color w:val="000000" w:themeColor="text1"/>
          <w:sz w:val="20"/>
        </w:rPr>
        <w:t>ấ</w:t>
      </w:r>
      <w:r w:rsidRPr="002D71F8">
        <w:rPr>
          <w:rFonts w:ascii="Arial" w:hAnsi="Arial"/>
          <w:b/>
          <w:color w:val="000000" w:themeColor="text1"/>
          <w:sz w:val="20"/>
        </w:rPr>
        <w:t>p t</w:t>
      </w:r>
      <w:r w:rsidRPr="002D71F8">
        <w:rPr>
          <w:rFonts w:ascii="Arial" w:hAnsi="Arial"/>
          <w:b/>
          <w:color w:val="000000" w:themeColor="text1"/>
          <w:sz w:val="20"/>
        </w:rPr>
        <w:t>ỉ</w:t>
      </w:r>
      <w:r w:rsidRPr="002D71F8">
        <w:rPr>
          <w:rFonts w:ascii="Arial" w:hAnsi="Arial"/>
          <w:b/>
          <w:color w:val="000000" w:themeColor="text1"/>
          <w:sz w:val="20"/>
        </w:rPr>
        <w:t>nh</w:t>
      </w:r>
    </w:p>
    <w:p w14:paraId="69A9940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</w:t>
      </w:r>
    </w:p>
    <w:p w14:paraId="29A1CA6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Ch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trì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và ban hành danh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3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này;</w:t>
      </w:r>
    </w:p>
    <w:p w14:paraId="3EDED225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m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và nguyên t</w:t>
      </w:r>
      <w:r w:rsidRPr="002D71F8">
        <w:rPr>
          <w:rFonts w:ascii="Arial" w:hAnsi="Arial"/>
          <w:color w:val="000000" w:themeColor="text1"/>
          <w:sz w:val="20"/>
        </w:rPr>
        <w:t>ắ</w:t>
      </w:r>
      <w:r w:rsidRPr="002D71F8">
        <w:rPr>
          <w:rFonts w:ascii="Arial" w:hAnsi="Arial"/>
          <w:color w:val="000000" w:themeColor="text1"/>
          <w:sz w:val="20"/>
        </w:rPr>
        <w:t>c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b kho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3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5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phù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 xml:space="preserve">i </w:t>
      </w:r>
      <w:r w:rsidRPr="002D71F8">
        <w:rPr>
          <w:rFonts w:ascii="Arial" w:hAnsi="Arial"/>
          <w:color w:val="000000" w:themeColor="text1"/>
          <w:sz w:val="20"/>
        </w:rPr>
        <w:t>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sinh và không vư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t quá 30% thí sinh có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cao nh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theo nhóm ngành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o;</w:t>
      </w:r>
    </w:p>
    <w:p w14:paraId="0530B18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năm,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trình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38176AF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d)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và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o;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phát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vi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thì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cơ quan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t;</w:t>
      </w:r>
    </w:p>
    <w:p w14:paraId="756EBD1F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đ)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báo cáo Chính ph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,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Chính ph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tình hình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</w:t>
      </w:r>
      <w:r w:rsidRPr="002D71F8">
        <w:rPr>
          <w:rFonts w:ascii="Arial" w:hAnsi="Arial"/>
          <w:color w:val="000000" w:themeColor="text1"/>
          <w:sz w:val="20"/>
        </w:rPr>
        <w:t xml:space="preserve">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báo cáo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quan hành chính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c;</w:t>
      </w:r>
    </w:p>
    <w:p w14:paraId="345A4E17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e)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xây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ng và v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hành 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ng thông tin ph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t,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hư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c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nh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t, khai thác,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n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i, chia s</w:t>
      </w:r>
      <w:r w:rsidRPr="002D71F8">
        <w:rPr>
          <w:rFonts w:ascii="Arial" w:hAnsi="Arial"/>
          <w:color w:val="000000" w:themeColor="text1"/>
          <w:sz w:val="20"/>
        </w:rPr>
        <w:t>ẻ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 xml:space="preserve"> li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tránh trùng l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p và ph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công tác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tra, giám sát;</w:t>
      </w:r>
    </w:p>
    <w:p w14:paraId="07729DB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lastRenderedPageBreak/>
        <w:t>g) Hư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trình t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,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c, phương th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5318B19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</w:t>
      </w:r>
    </w:p>
    <w:p w14:paraId="7561FEB0" w14:textId="7FE16539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Trên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xu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, cơ quan trung ương và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báo cáo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b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trí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ằ</w:t>
      </w:r>
      <w:r w:rsidRPr="002D71F8">
        <w:rPr>
          <w:rFonts w:ascii="Arial" w:hAnsi="Arial"/>
          <w:color w:val="000000" w:themeColor="text1"/>
          <w:sz w:val="20"/>
        </w:rPr>
        <w:t>ng năm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ngu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và các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có liên quan;</w:t>
      </w:r>
    </w:p>
    <w:p w14:paraId="4B74AA69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Hư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ng d</w:t>
      </w:r>
      <w:r w:rsidRPr="002D71F8">
        <w:rPr>
          <w:rFonts w:ascii="Arial" w:hAnsi="Arial"/>
          <w:color w:val="000000" w:themeColor="text1"/>
          <w:sz w:val="20"/>
        </w:rPr>
        <w:t>ẫ</w:t>
      </w:r>
      <w:r w:rsidRPr="002D71F8">
        <w:rPr>
          <w:rFonts w:ascii="Arial" w:hAnsi="Arial"/>
          <w:color w:val="000000" w:themeColor="text1"/>
          <w:sz w:val="20"/>
        </w:rPr>
        <w:t>n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và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</w:t>
      </w:r>
      <w:r w:rsidRPr="002D71F8">
        <w:rPr>
          <w:rFonts w:ascii="Arial" w:hAnsi="Arial"/>
          <w:color w:val="000000" w:themeColor="text1"/>
          <w:sz w:val="20"/>
        </w:rPr>
        <w:t xml:space="preserve">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55BA5D6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trung ương</w:t>
      </w:r>
    </w:p>
    <w:p w14:paraId="699D26E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đ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xu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4CEA75DC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và phân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kinh phí cho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tr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thu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c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59B8621F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Ph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t,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vi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11991A01" w14:textId="50EDF576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a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</w:t>
      </w:r>
    </w:p>
    <w:p w14:paraId="39874A9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a)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p, đ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xu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t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Tài chính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</w:t>
      </w:r>
      <w:r w:rsidRPr="002D71F8">
        <w:rPr>
          <w:rFonts w:ascii="Arial" w:hAnsi="Arial"/>
          <w:color w:val="000000" w:themeColor="text1"/>
          <w:sz w:val="20"/>
        </w:rPr>
        <w:t>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16446AF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b)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a phương; phân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kinh phí cho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theo phân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p;</w:t>
      </w:r>
    </w:p>
    <w:p w14:paraId="59C8CB8A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c) Ph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tra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t,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ho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c ki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vi ph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m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</w:t>
      </w:r>
    </w:p>
    <w:p w14:paraId="07355B5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d) Báo cáo tình hình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báo cáo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quan hành chính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c;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 dung báo cáo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theo năm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24FE6CF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13. Trách nhi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m c</w:t>
      </w:r>
      <w:r w:rsidRPr="002D71F8">
        <w:rPr>
          <w:rFonts w:ascii="Arial" w:hAnsi="Arial"/>
          <w:b/>
          <w:color w:val="000000" w:themeColor="text1"/>
          <w:sz w:val="20"/>
        </w:rPr>
        <w:t>ủ</w:t>
      </w:r>
      <w:r w:rsidRPr="002D71F8">
        <w:rPr>
          <w:rFonts w:ascii="Arial" w:hAnsi="Arial"/>
          <w:b/>
          <w:color w:val="000000" w:themeColor="text1"/>
          <w:sz w:val="20"/>
        </w:rPr>
        <w:t>a cơ s</w:t>
      </w:r>
      <w:r w:rsidRPr="002D71F8">
        <w:rPr>
          <w:rFonts w:ascii="Arial" w:hAnsi="Arial"/>
          <w:b/>
          <w:color w:val="000000" w:themeColor="text1"/>
          <w:sz w:val="20"/>
        </w:rPr>
        <w:t>ở</w:t>
      </w:r>
      <w:r w:rsidRPr="002D71F8">
        <w:rPr>
          <w:rFonts w:ascii="Arial" w:hAnsi="Arial"/>
          <w:b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b/>
          <w:color w:val="000000" w:themeColor="text1"/>
          <w:sz w:val="20"/>
        </w:rPr>
        <w:t>ạ</w:t>
      </w:r>
      <w:r w:rsidRPr="002D71F8">
        <w:rPr>
          <w:rFonts w:ascii="Arial" w:hAnsi="Arial"/>
          <w:b/>
          <w:color w:val="000000" w:themeColor="text1"/>
          <w:sz w:val="20"/>
        </w:rPr>
        <w:t>o</w:t>
      </w:r>
    </w:p>
    <w:p w14:paraId="4FA69DA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</w:t>
      </w:r>
      <w:r w:rsidRPr="002D71F8">
        <w:rPr>
          <w:rFonts w:ascii="Arial" w:hAnsi="Arial"/>
          <w:color w:val="000000" w:themeColor="text1"/>
          <w:sz w:val="20"/>
        </w:rPr>
        <w:t>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này; ch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u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tính chính xác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sơ, danh sách đ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ng.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p,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danh sách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đi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u ki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và cam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không trùng l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p chính sách h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theo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quan có th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n.</w:t>
      </w:r>
    </w:p>
    <w:p w14:paraId="45FA5D9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Công khai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 và khách quan.</w:t>
      </w:r>
    </w:p>
    <w:p w14:paraId="30E6435A" w14:textId="0031616C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d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toán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g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>i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,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0CB29C14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4.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lý,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ng,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toán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 xml:space="preserve">t Ngân sách nhà </w:t>
      </w:r>
      <w:r w:rsidRPr="002D71F8">
        <w:rPr>
          <w:rFonts w:ascii="Arial" w:hAnsi="Arial"/>
          <w:color w:val="000000" w:themeColor="text1"/>
          <w:sz w:val="20"/>
        </w:rPr>
        <w:t>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3B1A709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5.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toàn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đã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trong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phát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có hành vi gian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trong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làm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ng. Theo dõi, xác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các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, thông báo và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005D91EC" w14:textId="3943B2E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6. Báo cáo 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, </w:t>
      </w:r>
      <w:r w:rsidR="0051604E">
        <w:rPr>
          <w:rFonts w:ascii="Arial" w:hAnsi="Arial"/>
          <w:color w:val="000000" w:themeColor="text1"/>
          <w:sz w:val="20"/>
        </w:rPr>
        <w:t>Ủy ban</w:t>
      </w:r>
      <w:r w:rsidRPr="002D71F8">
        <w:rPr>
          <w:rFonts w:ascii="Arial" w:hAnsi="Arial"/>
          <w:color w:val="000000" w:themeColor="text1"/>
          <w:sz w:val="20"/>
        </w:rPr>
        <w:t xml:space="preserve"> nhân dân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</w:t>
      </w:r>
      <w:r w:rsidRPr="002D71F8">
        <w:rPr>
          <w:rFonts w:ascii="Arial" w:hAnsi="Arial"/>
          <w:color w:val="000000" w:themeColor="text1"/>
          <w:sz w:val="20"/>
        </w:rPr>
        <w:t>ỉ</w:t>
      </w:r>
      <w:r w:rsidRPr="002D71F8">
        <w:rPr>
          <w:rFonts w:ascii="Arial" w:hAnsi="Arial"/>
          <w:color w:val="000000" w:themeColor="text1"/>
          <w:sz w:val="20"/>
        </w:rPr>
        <w:t>nh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tình hình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khi có yêu c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u.</w:t>
      </w:r>
    </w:p>
    <w:p w14:paraId="20B3A809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7. Lưu tr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 liên quan đ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n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xét và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27421593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8</w:t>
      </w:r>
      <w:r w:rsidRPr="002D71F8">
        <w:rPr>
          <w:rFonts w:ascii="Arial" w:hAnsi="Arial"/>
          <w:color w:val="000000" w:themeColor="text1"/>
          <w:sz w:val="20"/>
        </w:rPr>
        <w:t>. C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nh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, k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p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thông tin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c, k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 và danh sách đ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trên h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 xml:space="preserve"> th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ng thông tin do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Giáo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và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nh;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tính chính xác, đ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ữ</w:t>
      </w:r>
      <w:r w:rsidRPr="002D71F8">
        <w:rPr>
          <w:rFonts w:ascii="Arial" w:hAnsi="Arial"/>
          <w:color w:val="000000" w:themeColor="text1"/>
          <w:sz w:val="20"/>
        </w:rPr>
        <w:t xml:space="preserve"> li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ph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v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 xml:space="preserve"> xét duy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t, chi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và ki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soát trùng l</w:t>
      </w:r>
      <w:r w:rsidRPr="002D71F8">
        <w:rPr>
          <w:rFonts w:ascii="Arial" w:hAnsi="Arial"/>
          <w:color w:val="000000" w:themeColor="text1"/>
          <w:sz w:val="20"/>
        </w:rPr>
        <w:t>ặ</w:t>
      </w:r>
      <w:r w:rsidRPr="002D71F8">
        <w:rPr>
          <w:rFonts w:ascii="Arial" w:hAnsi="Arial"/>
          <w:color w:val="000000" w:themeColor="text1"/>
          <w:sz w:val="20"/>
        </w:rPr>
        <w:t>p chính</w:t>
      </w:r>
      <w:r w:rsidRPr="002D71F8">
        <w:rPr>
          <w:rFonts w:ascii="Arial" w:hAnsi="Arial"/>
          <w:color w:val="000000" w:themeColor="text1"/>
          <w:sz w:val="20"/>
        </w:rPr>
        <w:t xml:space="preserve"> sách h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2D426206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14. Trách nhi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m c</w:t>
      </w:r>
      <w:r w:rsidRPr="002D71F8">
        <w:rPr>
          <w:rFonts w:ascii="Arial" w:hAnsi="Arial"/>
          <w:b/>
          <w:color w:val="000000" w:themeColor="text1"/>
          <w:sz w:val="20"/>
        </w:rPr>
        <w:t>ủ</w:t>
      </w:r>
      <w:r w:rsidRPr="002D71F8">
        <w:rPr>
          <w:rFonts w:ascii="Arial" w:hAnsi="Arial"/>
          <w:b/>
          <w:color w:val="000000" w:themeColor="text1"/>
          <w:sz w:val="20"/>
        </w:rPr>
        <w:t>a ngư</w:t>
      </w:r>
      <w:r w:rsidRPr="002D71F8">
        <w:rPr>
          <w:rFonts w:ascii="Arial" w:hAnsi="Arial"/>
          <w:b/>
          <w:color w:val="000000" w:themeColor="text1"/>
          <w:sz w:val="20"/>
        </w:rPr>
        <w:t>ờ</w:t>
      </w:r>
      <w:r w:rsidRPr="002D71F8">
        <w:rPr>
          <w:rFonts w:ascii="Arial" w:hAnsi="Arial"/>
          <w:b/>
          <w:color w:val="000000" w:themeColor="text1"/>
          <w:sz w:val="20"/>
        </w:rPr>
        <w:t>i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</w:t>
      </w:r>
    </w:p>
    <w:p w14:paraId="66B74DCE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Cung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thông tin trung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c, đ</w:t>
      </w:r>
      <w:r w:rsidRPr="002D71F8">
        <w:rPr>
          <w:rFonts w:ascii="Arial" w:hAnsi="Arial"/>
          <w:color w:val="000000" w:themeColor="text1"/>
          <w:sz w:val="20"/>
        </w:rPr>
        <w:t>ầ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trong quá trình xét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ng. S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đúng m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đích;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và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o.</w:t>
      </w:r>
    </w:p>
    <w:p w14:paraId="2130B89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Có trách n</w:t>
      </w:r>
      <w:r w:rsidRPr="002D71F8">
        <w:rPr>
          <w:rFonts w:ascii="Arial" w:hAnsi="Arial"/>
          <w:color w:val="000000" w:themeColor="text1"/>
          <w:sz w:val="20"/>
        </w:rPr>
        <w:t>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n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l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t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p, rèn luy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n, tham gia các ho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ng nghiên c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u khoa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và phát tri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năng l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cá nhân.</w:t>
      </w:r>
    </w:p>
    <w:p w14:paraId="65257F9F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lastRenderedPageBreak/>
        <w:t>3. Ch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hành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và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kinh phí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đã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</w:t>
      </w:r>
      <w:r w:rsidRPr="002D71F8">
        <w:rPr>
          <w:rFonts w:ascii="Arial" w:hAnsi="Arial"/>
          <w:color w:val="000000" w:themeColor="text1"/>
          <w:sz w:val="20"/>
        </w:rPr>
        <w:t>ỗ</w:t>
      </w:r>
      <w:r w:rsidRPr="002D71F8">
        <w:rPr>
          <w:rFonts w:ascii="Arial" w:hAnsi="Arial"/>
          <w:color w:val="000000" w:themeColor="text1"/>
          <w:sz w:val="20"/>
        </w:rPr>
        <w:t xml:space="preserve"> tr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 xml:space="preserve"> trong các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theo qu</w:t>
      </w:r>
      <w:r w:rsidRPr="002D71F8">
        <w:rPr>
          <w:rFonts w:ascii="Arial" w:hAnsi="Arial"/>
          <w:color w:val="000000" w:themeColor="text1"/>
          <w:sz w:val="20"/>
        </w:rPr>
        <w:t>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6A9DD4A5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15. Thu h</w:t>
      </w:r>
      <w:r w:rsidRPr="002D71F8">
        <w:rPr>
          <w:rFonts w:ascii="Arial" w:hAnsi="Arial"/>
          <w:b/>
          <w:color w:val="000000" w:themeColor="text1"/>
          <w:sz w:val="20"/>
        </w:rPr>
        <w:t>ồ</w:t>
      </w:r>
      <w:r w:rsidRPr="002D71F8">
        <w:rPr>
          <w:rFonts w:ascii="Arial" w:hAnsi="Arial"/>
          <w:b/>
          <w:color w:val="000000" w:themeColor="text1"/>
          <w:sz w:val="20"/>
        </w:rPr>
        <w:t>i h</w:t>
      </w:r>
      <w:r w:rsidRPr="002D71F8">
        <w:rPr>
          <w:rFonts w:ascii="Arial" w:hAnsi="Arial"/>
          <w:b/>
          <w:color w:val="000000" w:themeColor="text1"/>
          <w:sz w:val="20"/>
        </w:rPr>
        <w:t>ọ</w:t>
      </w:r>
      <w:r w:rsidRPr="002D71F8">
        <w:rPr>
          <w:rFonts w:ascii="Arial" w:hAnsi="Arial"/>
          <w:b/>
          <w:color w:val="000000" w:themeColor="text1"/>
          <w:sz w:val="20"/>
        </w:rPr>
        <w:t>c b</w:t>
      </w:r>
      <w:r w:rsidRPr="002D71F8">
        <w:rPr>
          <w:rFonts w:ascii="Arial" w:hAnsi="Arial"/>
          <w:b/>
          <w:color w:val="000000" w:themeColor="text1"/>
          <w:sz w:val="20"/>
        </w:rPr>
        <w:t>ổ</w:t>
      </w:r>
      <w:r w:rsidRPr="002D71F8">
        <w:rPr>
          <w:rFonts w:ascii="Arial" w:hAnsi="Arial"/>
          <w:b/>
          <w:color w:val="000000" w:themeColor="text1"/>
          <w:sz w:val="20"/>
        </w:rPr>
        <w:t>ng và x</w:t>
      </w:r>
      <w:r w:rsidRPr="002D71F8">
        <w:rPr>
          <w:rFonts w:ascii="Arial" w:hAnsi="Arial"/>
          <w:b/>
          <w:color w:val="000000" w:themeColor="text1"/>
          <w:sz w:val="20"/>
        </w:rPr>
        <w:t>ử</w:t>
      </w:r>
      <w:r w:rsidRPr="002D71F8">
        <w:rPr>
          <w:rFonts w:ascii="Arial" w:hAnsi="Arial"/>
          <w:b/>
          <w:color w:val="000000" w:themeColor="text1"/>
          <w:sz w:val="20"/>
        </w:rPr>
        <w:t xml:space="preserve"> lý vi ph</w:t>
      </w:r>
      <w:r w:rsidRPr="002D71F8">
        <w:rPr>
          <w:rFonts w:ascii="Arial" w:hAnsi="Arial"/>
          <w:b/>
          <w:color w:val="000000" w:themeColor="text1"/>
          <w:sz w:val="20"/>
        </w:rPr>
        <w:t>ạ</w:t>
      </w:r>
      <w:r w:rsidRPr="002D71F8">
        <w:rPr>
          <w:rFonts w:ascii="Arial" w:hAnsi="Arial"/>
          <w:b/>
          <w:color w:val="000000" w:themeColor="text1"/>
          <w:sz w:val="20"/>
        </w:rPr>
        <w:t>m</w:t>
      </w:r>
    </w:p>
    <w:p w14:paraId="43F3AEA2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toàn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đã nh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trong các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sau: Có hành vi gian l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trong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 xml:space="preserve"> sơ đ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 xml:space="preserve">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hư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ng; nh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không đúng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ng, tiêu chu</w:t>
      </w:r>
      <w:r w:rsidRPr="002D71F8">
        <w:rPr>
          <w:rFonts w:ascii="Arial" w:hAnsi="Arial"/>
          <w:color w:val="000000" w:themeColor="text1"/>
          <w:sz w:val="20"/>
        </w:rPr>
        <w:t>ẩ</w:t>
      </w:r>
      <w:r w:rsidRPr="002D71F8">
        <w:rPr>
          <w:rFonts w:ascii="Arial" w:hAnsi="Arial"/>
          <w:color w:val="000000" w:themeColor="text1"/>
          <w:sz w:val="20"/>
        </w:rPr>
        <w:t>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nh.</w:t>
      </w:r>
    </w:p>
    <w:p w14:paraId="767F5DE1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ng. 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theo nguyên t</w:t>
      </w:r>
      <w:r w:rsidRPr="002D71F8">
        <w:rPr>
          <w:rFonts w:ascii="Arial" w:hAnsi="Arial"/>
          <w:color w:val="000000" w:themeColor="text1"/>
          <w:sz w:val="20"/>
        </w:rPr>
        <w:t>ắ</w:t>
      </w:r>
      <w:r w:rsidRPr="002D71F8">
        <w:rPr>
          <w:rFonts w:ascii="Arial" w:hAnsi="Arial"/>
          <w:color w:val="000000" w:themeColor="text1"/>
          <w:sz w:val="20"/>
        </w:rPr>
        <w:t>c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quy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và l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i ích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pháp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các bên liên quan và tuân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c.</w:t>
      </w:r>
    </w:p>
    <w:p w14:paraId="0F418990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3. Quy trình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i: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ban hành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ng, trong đó nêu rõ lý do,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ph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i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và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n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;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có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đã nh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n theo quy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>t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i; trư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ng h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p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không t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 xml:space="preserve"> </w:t>
      </w:r>
      <w:r w:rsidRPr="002D71F8">
        <w:rPr>
          <w:rFonts w:ascii="Arial" w:hAnsi="Arial"/>
          <w:color w:val="000000" w:themeColor="text1"/>
          <w:sz w:val="20"/>
        </w:rPr>
        <w:t>nguy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,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các bi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pháp x</w:t>
      </w:r>
      <w:r w:rsidRPr="002D71F8">
        <w:rPr>
          <w:rFonts w:ascii="Arial" w:hAnsi="Arial"/>
          <w:color w:val="000000" w:themeColor="text1"/>
          <w:sz w:val="20"/>
        </w:rPr>
        <w:t>ử</w:t>
      </w:r>
      <w:r w:rsidRPr="002D71F8">
        <w:rPr>
          <w:rFonts w:ascii="Arial" w:hAnsi="Arial"/>
          <w:color w:val="000000" w:themeColor="text1"/>
          <w:sz w:val="20"/>
        </w:rPr>
        <w:t xml:space="preserve"> lý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t. Trình t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,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và hoàn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do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theo quy ch</w:t>
      </w:r>
      <w:r w:rsidRPr="002D71F8">
        <w:rPr>
          <w:rFonts w:ascii="Arial" w:hAnsi="Arial"/>
          <w:color w:val="000000" w:themeColor="text1"/>
          <w:sz w:val="20"/>
        </w:rPr>
        <w:t>ế</w:t>
      </w:r>
      <w:r w:rsidRPr="002D71F8">
        <w:rPr>
          <w:rFonts w:ascii="Arial" w:hAnsi="Arial"/>
          <w:color w:val="000000" w:themeColor="text1"/>
          <w:sz w:val="20"/>
        </w:rPr>
        <w:t xml:space="preserve">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i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b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o đ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m công khai, minh b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ch, đúng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và kh</w:t>
      </w:r>
      <w:r w:rsidRPr="002D71F8">
        <w:rPr>
          <w:rFonts w:ascii="Arial" w:hAnsi="Arial"/>
          <w:color w:val="000000" w:themeColor="text1"/>
          <w:sz w:val="20"/>
        </w:rPr>
        <w:t>ông làm phát sinh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c hành chính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v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i ngư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ngoài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60470080" w14:textId="77777777" w:rsidR="009B5FE3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Vi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c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i, n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p tr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 xml:space="preserve"> và qu</w:t>
      </w:r>
      <w:r w:rsidRPr="002D71F8">
        <w:rPr>
          <w:rFonts w:ascii="Arial" w:hAnsi="Arial"/>
          <w:color w:val="000000" w:themeColor="text1"/>
          <w:sz w:val="20"/>
        </w:rPr>
        <w:t>ả</w:t>
      </w:r>
      <w:r w:rsidRPr="002D71F8">
        <w:rPr>
          <w:rFonts w:ascii="Arial" w:hAnsi="Arial"/>
          <w:color w:val="000000" w:themeColor="text1"/>
          <w:sz w:val="20"/>
        </w:rPr>
        <w:t>n lý s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 xml:space="preserve"> ti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>n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thu h</w:t>
      </w:r>
      <w:r w:rsidRPr="002D71F8">
        <w:rPr>
          <w:rFonts w:ascii="Arial" w:hAnsi="Arial"/>
          <w:color w:val="000000" w:themeColor="text1"/>
          <w:sz w:val="20"/>
        </w:rPr>
        <w:t>ồ</w:t>
      </w:r>
      <w:r w:rsidRPr="002D71F8">
        <w:rPr>
          <w:rFonts w:ascii="Arial" w:hAnsi="Arial"/>
          <w:color w:val="000000" w:themeColor="text1"/>
          <w:sz w:val="20"/>
        </w:rPr>
        <w:t>i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th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n theo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>a pháp lu</w:t>
      </w:r>
      <w:r w:rsidRPr="002D71F8">
        <w:rPr>
          <w:rFonts w:ascii="Arial" w:hAnsi="Arial"/>
          <w:color w:val="000000" w:themeColor="text1"/>
          <w:sz w:val="20"/>
        </w:rPr>
        <w:t>ậ</w:t>
      </w:r>
      <w:r w:rsidRPr="002D71F8">
        <w:rPr>
          <w:rFonts w:ascii="Arial" w:hAnsi="Arial"/>
          <w:color w:val="000000" w:themeColor="text1"/>
          <w:sz w:val="20"/>
        </w:rPr>
        <w:t>t v</w:t>
      </w:r>
      <w:r w:rsidRPr="002D71F8">
        <w:rPr>
          <w:rFonts w:ascii="Arial" w:hAnsi="Arial"/>
          <w:color w:val="000000" w:themeColor="text1"/>
          <w:sz w:val="20"/>
        </w:rPr>
        <w:t>ề</w:t>
      </w:r>
      <w:r w:rsidRPr="002D71F8">
        <w:rPr>
          <w:rFonts w:ascii="Arial" w:hAnsi="Arial"/>
          <w:color w:val="000000" w:themeColor="text1"/>
          <w:sz w:val="20"/>
        </w:rPr>
        <w:t xml:space="preserve"> ngân sách nhà nư</w:t>
      </w:r>
      <w:r w:rsidRPr="002D71F8">
        <w:rPr>
          <w:rFonts w:ascii="Arial" w:hAnsi="Arial"/>
          <w:color w:val="000000" w:themeColor="text1"/>
          <w:sz w:val="20"/>
        </w:rPr>
        <w:t>ớ</w:t>
      </w:r>
      <w:r w:rsidRPr="002D71F8">
        <w:rPr>
          <w:rFonts w:ascii="Arial" w:hAnsi="Arial"/>
          <w:color w:val="000000" w:themeColor="text1"/>
          <w:sz w:val="20"/>
        </w:rPr>
        <w:t>c và các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có liên quan.</w:t>
      </w:r>
    </w:p>
    <w:p w14:paraId="63816D20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1EEB0844" w14:textId="7777777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 xml:space="preserve">Chương V </w:t>
      </w:r>
    </w:p>
    <w:p w14:paraId="39A8E368" w14:textId="77777777" w:rsidR="009B5FE3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KHO</w:t>
      </w:r>
      <w:r w:rsidRPr="002D71F8">
        <w:rPr>
          <w:rFonts w:ascii="Arial" w:hAnsi="Arial"/>
          <w:b/>
          <w:color w:val="000000" w:themeColor="text1"/>
          <w:sz w:val="20"/>
        </w:rPr>
        <w:t>Ả</w:t>
      </w:r>
      <w:r w:rsidRPr="002D71F8">
        <w:rPr>
          <w:rFonts w:ascii="Arial" w:hAnsi="Arial"/>
          <w:b/>
          <w:color w:val="000000" w:themeColor="text1"/>
          <w:sz w:val="20"/>
        </w:rPr>
        <w:t>N THI HÀNH</w:t>
      </w:r>
    </w:p>
    <w:p w14:paraId="10708928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p w14:paraId="1F28EA4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16. 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u l</w:t>
      </w:r>
      <w:r w:rsidRPr="002D71F8">
        <w:rPr>
          <w:rFonts w:ascii="Arial" w:hAnsi="Arial"/>
          <w:b/>
          <w:color w:val="000000" w:themeColor="text1"/>
          <w:sz w:val="20"/>
        </w:rPr>
        <w:t>ự</w:t>
      </w:r>
      <w:r w:rsidRPr="002D71F8">
        <w:rPr>
          <w:rFonts w:ascii="Arial" w:hAnsi="Arial"/>
          <w:b/>
          <w:color w:val="000000" w:themeColor="text1"/>
          <w:sz w:val="20"/>
        </w:rPr>
        <w:t>c thi hành</w:t>
      </w:r>
    </w:p>
    <w:p w14:paraId="7FB10D18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1.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có 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u l</w:t>
      </w:r>
      <w:r w:rsidRPr="002D71F8">
        <w:rPr>
          <w:rFonts w:ascii="Arial" w:hAnsi="Arial"/>
          <w:color w:val="000000" w:themeColor="text1"/>
          <w:sz w:val="20"/>
        </w:rPr>
        <w:t>ự</w:t>
      </w:r>
      <w:r w:rsidRPr="002D71F8">
        <w:rPr>
          <w:rFonts w:ascii="Arial" w:hAnsi="Arial"/>
          <w:color w:val="000000" w:themeColor="text1"/>
          <w:sz w:val="20"/>
        </w:rPr>
        <w:t>c thi hành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ngày 15 tháng 7 năm 2026.</w:t>
      </w:r>
    </w:p>
    <w:p w14:paraId="4650475B" w14:textId="550BFE71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2. Chính sách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quy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i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 đư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c áp d</w:t>
      </w:r>
      <w:r w:rsidRPr="002D71F8">
        <w:rPr>
          <w:rFonts w:ascii="Arial" w:hAnsi="Arial"/>
          <w:color w:val="000000" w:themeColor="text1"/>
          <w:sz w:val="20"/>
        </w:rPr>
        <w:t>ụ</w:t>
      </w:r>
      <w:r w:rsidRPr="002D71F8">
        <w:rPr>
          <w:rFonts w:ascii="Arial" w:hAnsi="Arial"/>
          <w:color w:val="000000" w:themeColor="text1"/>
          <w:sz w:val="20"/>
        </w:rPr>
        <w:t>ng cho đ</w:t>
      </w:r>
      <w:r w:rsidRPr="002D71F8">
        <w:rPr>
          <w:rFonts w:ascii="Arial" w:hAnsi="Arial"/>
          <w:color w:val="000000" w:themeColor="text1"/>
          <w:sz w:val="20"/>
        </w:rPr>
        <w:t>ố</w:t>
      </w:r>
      <w:r w:rsidRPr="002D71F8">
        <w:rPr>
          <w:rFonts w:ascii="Arial" w:hAnsi="Arial"/>
          <w:color w:val="000000" w:themeColor="text1"/>
          <w:sz w:val="20"/>
        </w:rPr>
        <w:t>i tư</w:t>
      </w:r>
      <w:r w:rsidRPr="002D71F8">
        <w:rPr>
          <w:rFonts w:ascii="Arial" w:hAnsi="Arial"/>
          <w:color w:val="000000" w:themeColor="text1"/>
          <w:sz w:val="20"/>
        </w:rPr>
        <w:t>ợ</w:t>
      </w:r>
      <w:r w:rsidRPr="002D71F8">
        <w:rPr>
          <w:rFonts w:ascii="Arial" w:hAnsi="Arial"/>
          <w:color w:val="000000" w:themeColor="text1"/>
          <w:sz w:val="20"/>
        </w:rPr>
        <w:t>ng tuy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n sinh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năm 2025 tr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đi, th</w:t>
      </w:r>
      <w:r w:rsidRPr="002D71F8">
        <w:rPr>
          <w:rFonts w:ascii="Arial" w:hAnsi="Arial"/>
          <w:color w:val="000000" w:themeColor="text1"/>
          <w:sz w:val="20"/>
        </w:rPr>
        <w:t>ờ</w:t>
      </w:r>
      <w:r w:rsidRPr="002D71F8">
        <w:rPr>
          <w:rFonts w:ascii="Arial" w:hAnsi="Arial"/>
          <w:color w:val="000000" w:themeColor="text1"/>
          <w:sz w:val="20"/>
        </w:rPr>
        <w:t>i đi</w:t>
      </w:r>
      <w:r w:rsidRPr="002D71F8">
        <w:rPr>
          <w:rFonts w:ascii="Arial" w:hAnsi="Arial"/>
          <w:color w:val="000000" w:themeColor="text1"/>
          <w:sz w:val="20"/>
        </w:rPr>
        <w:t>ể</w:t>
      </w:r>
      <w:r w:rsidRPr="002D71F8">
        <w:rPr>
          <w:rFonts w:ascii="Arial" w:hAnsi="Arial"/>
          <w:color w:val="000000" w:themeColor="text1"/>
          <w:sz w:val="20"/>
        </w:rPr>
        <w:t>m c</w:t>
      </w:r>
      <w:r w:rsidRPr="002D71F8">
        <w:rPr>
          <w:rFonts w:ascii="Arial" w:hAnsi="Arial"/>
          <w:color w:val="000000" w:themeColor="text1"/>
          <w:sz w:val="20"/>
        </w:rPr>
        <w:t>ấ</w:t>
      </w:r>
      <w:r w:rsidRPr="002D71F8">
        <w:rPr>
          <w:rFonts w:ascii="Arial" w:hAnsi="Arial"/>
          <w:color w:val="000000" w:themeColor="text1"/>
          <w:sz w:val="20"/>
        </w:rPr>
        <w:t>p h</w:t>
      </w:r>
      <w:r w:rsidRPr="002D71F8">
        <w:rPr>
          <w:rFonts w:ascii="Arial" w:hAnsi="Arial"/>
          <w:color w:val="000000" w:themeColor="text1"/>
          <w:sz w:val="20"/>
        </w:rPr>
        <w:t>ọ</w:t>
      </w:r>
      <w:r w:rsidRPr="002D71F8">
        <w:rPr>
          <w:rFonts w:ascii="Arial" w:hAnsi="Arial"/>
          <w:color w:val="000000" w:themeColor="text1"/>
          <w:sz w:val="20"/>
        </w:rPr>
        <w:t>c b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>ng tính t</w:t>
      </w:r>
      <w:r w:rsidRPr="002D71F8">
        <w:rPr>
          <w:rFonts w:ascii="Arial" w:hAnsi="Arial"/>
          <w:color w:val="000000" w:themeColor="text1"/>
          <w:sz w:val="20"/>
        </w:rPr>
        <w:t>ừ</w:t>
      </w:r>
      <w:r w:rsidRPr="002D71F8">
        <w:rPr>
          <w:rFonts w:ascii="Arial" w:hAnsi="Arial"/>
          <w:color w:val="000000" w:themeColor="text1"/>
          <w:sz w:val="20"/>
        </w:rPr>
        <w:t xml:space="preserve"> ng</w:t>
      </w:r>
      <w:r w:rsidRPr="002D71F8">
        <w:rPr>
          <w:rFonts w:ascii="Arial" w:hAnsi="Arial"/>
          <w:color w:val="000000" w:themeColor="text1"/>
          <w:sz w:val="20"/>
        </w:rPr>
        <w:t xml:space="preserve">ày 01 tháng 9 năm 2026. </w:t>
      </w:r>
    </w:p>
    <w:p w14:paraId="10CE4ECB" w14:textId="77777777" w:rsidR="009B5FE3" w:rsidRPr="002D71F8" w:rsidRDefault="009F2CD5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color w:val="000000" w:themeColor="text1"/>
          <w:sz w:val="20"/>
        </w:rPr>
        <w:t>Đi</w:t>
      </w:r>
      <w:r w:rsidRPr="002D71F8">
        <w:rPr>
          <w:rFonts w:ascii="Arial" w:hAnsi="Arial"/>
          <w:b/>
          <w:color w:val="000000" w:themeColor="text1"/>
          <w:sz w:val="20"/>
        </w:rPr>
        <w:t>ề</w:t>
      </w:r>
      <w:r w:rsidRPr="002D71F8">
        <w:rPr>
          <w:rFonts w:ascii="Arial" w:hAnsi="Arial"/>
          <w:b/>
          <w:color w:val="000000" w:themeColor="text1"/>
          <w:sz w:val="20"/>
        </w:rPr>
        <w:t>u 17. Trách nhi</w:t>
      </w:r>
      <w:r w:rsidRPr="002D71F8">
        <w:rPr>
          <w:rFonts w:ascii="Arial" w:hAnsi="Arial"/>
          <w:b/>
          <w:color w:val="000000" w:themeColor="text1"/>
          <w:sz w:val="20"/>
        </w:rPr>
        <w:t>ệ</w:t>
      </w:r>
      <w:r w:rsidRPr="002D71F8">
        <w:rPr>
          <w:rFonts w:ascii="Arial" w:hAnsi="Arial"/>
          <w:b/>
          <w:color w:val="000000" w:themeColor="text1"/>
          <w:sz w:val="20"/>
        </w:rPr>
        <w:t>m thi hành</w:t>
      </w:r>
    </w:p>
    <w:p w14:paraId="55B18854" w14:textId="77777777" w:rsidR="009B5FE3" w:rsidRDefault="009F2CD5" w:rsidP="002D71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color w:val="000000" w:themeColor="text1"/>
          <w:sz w:val="20"/>
        </w:rPr>
        <w:t>Các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ng,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cơ quan ngang b</w:t>
      </w:r>
      <w:r w:rsidRPr="002D71F8">
        <w:rPr>
          <w:rFonts w:ascii="Arial" w:hAnsi="Arial"/>
          <w:color w:val="000000" w:themeColor="text1"/>
          <w:sz w:val="20"/>
        </w:rPr>
        <w:t>ộ</w:t>
      </w:r>
      <w:r w:rsidRPr="002D71F8">
        <w:rPr>
          <w:rFonts w:ascii="Arial" w:hAnsi="Arial"/>
          <w:color w:val="000000" w:themeColor="text1"/>
          <w:sz w:val="20"/>
        </w:rPr>
        <w:t>, Th</w:t>
      </w:r>
      <w:r w:rsidRPr="002D71F8">
        <w:rPr>
          <w:rFonts w:ascii="Arial" w:hAnsi="Arial"/>
          <w:color w:val="000000" w:themeColor="text1"/>
          <w:sz w:val="20"/>
        </w:rPr>
        <w:t>ủ</w:t>
      </w:r>
      <w:r w:rsidRPr="002D71F8">
        <w:rPr>
          <w:rFonts w:ascii="Arial" w:hAnsi="Arial"/>
          <w:color w:val="000000" w:themeColor="text1"/>
          <w:sz w:val="20"/>
        </w:rPr>
        <w:t xml:space="preserve"> trư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>ng các cơ s</w:t>
      </w:r>
      <w:r w:rsidRPr="002D71F8">
        <w:rPr>
          <w:rFonts w:ascii="Arial" w:hAnsi="Arial"/>
          <w:color w:val="000000" w:themeColor="text1"/>
          <w:sz w:val="20"/>
        </w:rPr>
        <w:t>ở</w:t>
      </w:r>
      <w:r w:rsidRPr="002D71F8">
        <w:rPr>
          <w:rFonts w:ascii="Arial" w:hAnsi="Arial"/>
          <w:color w:val="000000" w:themeColor="text1"/>
          <w:sz w:val="20"/>
        </w:rPr>
        <w:t xml:space="preserve"> đào t</w:t>
      </w:r>
      <w:r w:rsidRPr="002D71F8">
        <w:rPr>
          <w:rFonts w:ascii="Arial" w:hAnsi="Arial"/>
          <w:color w:val="000000" w:themeColor="text1"/>
          <w:sz w:val="20"/>
        </w:rPr>
        <w:t>ạ</w:t>
      </w:r>
      <w:r w:rsidRPr="002D71F8">
        <w:rPr>
          <w:rFonts w:ascii="Arial" w:hAnsi="Arial"/>
          <w:color w:val="000000" w:themeColor="text1"/>
          <w:sz w:val="20"/>
        </w:rPr>
        <w:t>o và các cơ quan, t</w:t>
      </w:r>
      <w:r w:rsidRPr="002D71F8">
        <w:rPr>
          <w:rFonts w:ascii="Arial" w:hAnsi="Arial"/>
          <w:color w:val="000000" w:themeColor="text1"/>
          <w:sz w:val="20"/>
        </w:rPr>
        <w:t>ổ</w:t>
      </w:r>
      <w:r w:rsidRPr="002D71F8">
        <w:rPr>
          <w:rFonts w:ascii="Arial" w:hAnsi="Arial"/>
          <w:color w:val="000000" w:themeColor="text1"/>
          <w:sz w:val="20"/>
        </w:rPr>
        <w:t xml:space="preserve"> ch</w:t>
      </w:r>
      <w:r w:rsidRPr="002D71F8">
        <w:rPr>
          <w:rFonts w:ascii="Arial" w:hAnsi="Arial"/>
          <w:color w:val="000000" w:themeColor="text1"/>
          <w:sz w:val="20"/>
        </w:rPr>
        <w:t>ứ</w:t>
      </w:r>
      <w:r w:rsidRPr="002D71F8">
        <w:rPr>
          <w:rFonts w:ascii="Arial" w:hAnsi="Arial"/>
          <w:color w:val="000000" w:themeColor="text1"/>
          <w:sz w:val="20"/>
        </w:rPr>
        <w:t>c có liên quan ch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u trách nhi</w:t>
      </w:r>
      <w:r w:rsidRPr="002D71F8">
        <w:rPr>
          <w:rFonts w:ascii="Arial" w:hAnsi="Arial"/>
          <w:color w:val="000000" w:themeColor="text1"/>
          <w:sz w:val="20"/>
        </w:rPr>
        <w:t>ệ</w:t>
      </w:r>
      <w:r w:rsidRPr="002D71F8">
        <w:rPr>
          <w:rFonts w:ascii="Arial" w:hAnsi="Arial"/>
          <w:color w:val="000000" w:themeColor="text1"/>
          <w:sz w:val="20"/>
        </w:rPr>
        <w:t>m thi hành Ngh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 xml:space="preserve"> đ</w:t>
      </w:r>
      <w:r w:rsidRPr="002D71F8">
        <w:rPr>
          <w:rFonts w:ascii="Arial" w:hAnsi="Arial"/>
          <w:color w:val="000000" w:themeColor="text1"/>
          <w:sz w:val="20"/>
        </w:rPr>
        <w:t>ị</w:t>
      </w:r>
      <w:r w:rsidRPr="002D71F8">
        <w:rPr>
          <w:rFonts w:ascii="Arial" w:hAnsi="Arial"/>
          <w:color w:val="000000" w:themeColor="text1"/>
          <w:sz w:val="20"/>
        </w:rPr>
        <w:t>nh này.</w:t>
      </w:r>
    </w:p>
    <w:p w14:paraId="6B0C61AC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D71F8" w:rsidRPr="002D71F8" w14:paraId="1003917E" w14:textId="77777777" w:rsidTr="002D71F8">
        <w:tc>
          <w:tcPr>
            <w:tcW w:w="2500" w:type="pct"/>
          </w:tcPr>
          <w:p w14:paraId="1B2D43C0" w14:textId="1D40B928" w:rsidR="009B5FE3" w:rsidRPr="002D71F8" w:rsidRDefault="009F2CD5" w:rsidP="002D71F8">
            <w:pPr>
              <w:adjustRightInd w:val="0"/>
              <w:snapToGrid w:val="0"/>
              <w:spacing w:after="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i/>
                <w:color w:val="000000" w:themeColor="text1"/>
                <w:sz w:val="20"/>
              </w:rPr>
              <w:t>Nơi nh</w:t>
            </w:r>
            <w:r w:rsidRPr="002D71F8">
              <w:rPr>
                <w:rFonts w:ascii="Arial" w:hAnsi="Arial"/>
                <w:b/>
                <w:i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b/>
                <w:i/>
                <w:color w:val="000000" w:themeColor="text1"/>
                <w:sz w:val="20"/>
              </w:rPr>
              <w:t>n: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Ban Bí thư Trung ương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ả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Th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tư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ng, các Phó Th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tư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Chính ph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Các b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, cơ quan ngang b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HĐND, UBND các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ỉ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nh, thành ph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ự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trung ương;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Văn phòng Trung ương và các Ban 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ả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ng; -Văn phòng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Bí thư;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Văn phòng Ch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ch nư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ồ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Dân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c và các </w:t>
            </w:r>
            <w:r w:rsidR="0051604E">
              <w:rPr>
                <w:rFonts w:ascii="Arial" w:hAnsi="Arial"/>
                <w:color w:val="000000" w:themeColor="text1"/>
                <w:sz w:val="20"/>
              </w:rPr>
              <w:t>Ủy ban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 Qu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Văn phòng Qu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Tòa án nhân dân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 cao;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Vi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 ki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ể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m sát nhân dân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 cao;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Ki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ể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m toán nhà nư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- </w:t>
            </w:r>
            <w:r w:rsidR="0051604E">
              <w:rPr>
                <w:rFonts w:ascii="Arial" w:hAnsi="Arial"/>
                <w:color w:val="000000" w:themeColor="text1"/>
                <w:sz w:val="20"/>
              </w:rPr>
              <w:t>Ủy ban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Trung ương M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ặ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qu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Vi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Nam;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Cơ quan trung ương 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 các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ch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ứ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chính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- xã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i;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VPCP: BTCN, các PCN,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ợ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lý TTg, TGĐ 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ổ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TTĐT,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các 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, C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c, đơn 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ự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ộ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c, Công báo;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- Lưu: VT, KGVX (2).</w:t>
            </w:r>
          </w:p>
        </w:tc>
        <w:tc>
          <w:tcPr>
            <w:tcW w:w="2500" w:type="pct"/>
          </w:tcPr>
          <w:p w14:paraId="085DC2B7" w14:textId="35F90CA4" w:rsidR="009B5FE3" w:rsidRPr="002D71F8" w:rsidRDefault="009F2CD5" w:rsidP="002D71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TM. CHÍNH PH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KT. TH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TƯ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PHÓ TH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Ủ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 xml:space="preserve"> TƯ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Ớ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NG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br/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Lê Ti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ế</w:t>
            </w: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 Châu</w:t>
            </w:r>
          </w:p>
        </w:tc>
      </w:tr>
    </w:tbl>
    <w:p w14:paraId="6C357B7B" w14:textId="77777777" w:rsidR="002D71F8" w:rsidRDefault="002D71F8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</w:p>
    <w:p w14:paraId="5ACF15CB" w14:textId="77777777" w:rsidR="002D71F8" w:rsidRDefault="002D71F8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  <w:sectPr w:rsidR="002D71F8" w:rsidSect="002D71F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3F14C49" w14:textId="739D14D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bCs/>
          <w:color w:val="000000" w:themeColor="text1"/>
          <w:sz w:val="20"/>
        </w:rPr>
      </w:pPr>
      <w:r w:rsidRPr="002D71F8">
        <w:rPr>
          <w:rFonts w:ascii="Arial" w:hAnsi="Arial"/>
          <w:b/>
          <w:bCs/>
          <w:color w:val="000000" w:themeColor="text1"/>
          <w:sz w:val="20"/>
        </w:rPr>
        <w:lastRenderedPageBreak/>
        <w:t>Ph</w:t>
      </w:r>
      <w:r w:rsidRPr="002D71F8">
        <w:rPr>
          <w:rFonts w:ascii="Arial" w:hAnsi="Arial"/>
          <w:b/>
          <w:bCs/>
          <w:color w:val="000000" w:themeColor="text1"/>
          <w:sz w:val="20"/>
        </w:rPr>
        <w:t>ụ</w:t>
      </w:r>
      <w:r w:rsidRPr="002D71F8">
        <w:rPr>
          <w:rFonts w:ascii="Arial" w:hAnsi="Arial"/>
          <w:b/>
          <w:bCs/>
          <w:color w:val="000000" w:themeColor="text1"/>
          <w:sz w:val="20"/>
        </w:rPr>
        <w:t xml:space="preserve"> l</w:t>
      </w:r>
      <w:r w:rsidRPr="002D71F8">
        <w:rPr>
          <w:rFonts w:ascii="Arial" w:hAnsi="Arial"/>
          <w:b/>
          <w:bCs/>
          <w:color w:val="000000" w:themeColor="text1"/>
          <w:sz w:val="20"/>
        </w:rPr>
        <w:t>ụ</w:t>
      </w:r>
      <w:r w:rsidRPr="002D71F8">
        <w:rPr>
          <w:rFonts w:ascii="Arial" w:hAnsi="Arial"/>
          <w:b/>
          <w:bCs/>
          <w:color w:val="000000" w:themeColor="text1"/>
          <w:sz w:val="20"/>
        </w:rPr>
        <w:t>c</w:t>
      </w:r>
    </w:p>
    <w:p w14:paraId="6A578205" w14:textId="1B0DF34F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b/>
          <w:bCs/>
          <w:color w:val="000000" w:themeColor="text1"/>
          <w:sz w:val="20"/>
        </w:rPr>
        <w:t xml:space="preserve">DANH SÁCH NHÓM NGÀNH </w:t>
      </w:r>
      <w:r w:rsidRPr="002D71F8">
        <w:rPr>
          <w:rFonts w:ascii="Arial" w:hAnsi="Arial"/>
          <w:b/>
          <w:bCs/>
          <w:color w:val="000000" w:themeColor="text1"/>
          <w:sz w:val="20"/>
        </w:rPr>
        <w:t>ĐÀO T</w:t>
      </w:r>
      <w:r w:rsidRPr="002D71F8">
        <w:rPr>
          <w:rFonts w:ascii="Arial" w:hAnsi="Arial"/>
          <w:b/>
          <w:bCs/>
          <w:color w:val="000000" w:themeColor="text1"/>
          <w:sz w:val="20"/>
        </w:rPr>
        <w:t>Ạ</w:t>
      </w:r>
      <w:r w:rsidRPr="002D71F8">
        <w:rPr>
          <w:rFonts w:ascii="Arial" w:hAnsi="Arial"/>
          <w:b/>
          <w:bCs/>
          <w:color w:val="000000" w:themeColor="text1"/>
          <w:sz w:val="20"/>
        </w:rPr>
        <w:t>O CÓ CÁC NGÀNH KHOA H</w:t>
      </w:r>
      <w:r w:rsidRPr="002D71F8">
        <w:rPr>
          <w:rFonts w:ascii="Arial" w:hAnsi="Arial"/>
          <w:b/>
          <w:bCs/>
          <w:color w:val="000000" w:themeColor="text1"/>
          <w:sz w:val="20"/>
        </w:rPr>
        <w:t>Ọ</w:t>
      </w:r>
      <w:r w:rsidRPr="002D71F8">
        <w:rPr>
          <w:rFonts w:ascii="Arial" w:hAnsi="Arial"/>
          <w:b/>
          <w:bCs/>
          <w:color w:val="000000" w:themeColor="text1"/>
          <w:sz w:val="20"/>
        </w:rPr>
        <w:t>C</w:t>
      </w:r>
      <w:r w:rsidR="002D71F8">
        <w:rPr>
          <w:rFonts w:ascii="Arial" w:hAnsi="Arial"/>
          <w:b/>
          <w:bCs/>
          <w:color w:val="000000" w:themeColor="text1"/>
          <w:sz w:val="20"/>
        </w:rPr>
        <w:br/>
      </w:r>
      <w:r w:rsidRPr="002D71F8">
        <w:rPr>
          <w:rFonts w:ascii="Arial" w:hAnsi="Arial"/>
          <w:b/>
          <w:bCs/>
          <w:color w:val="000000" w:themeColor="text1"/>
          <w:sz w:val="20"/>
        </w:rPr>
        <w:t>CƠ B</w:t>
      </w:r>
      <w:r w:rsidRPr="002D71F8">
        <w:rPr>
          <w:rFonts w:ascii="Arial" w:hAnsi="Arial"/>
          <w:b/>
          <w:bCs/>
          <w:color w:val="000000" w:themeColor="text1"/>
          <w:sz w:val="20"/>
        </w:rPr>
        <w:t>Ả</w:t>
      </w:r>
      <w:r w:rsidRPr="002D71F8">
        <w:rPr>
          <w:rFonts w:ascii="Arial" w:hAnsi="Arial"/>
          <w:b/>
          <w:bCs/>
          <w:color w:val="000000" w:themeColor="text1"/>
          <w:sz w:val="20"/>
        </w:rPr>
        <w:t>N, K</w:t>
      </w:r>
      <w:r w:rsidRPr="002D71F8">
        <w:rPr>
          <w:rFonts w:ascii="Arial" w:hAnsi="Arial"/>
          <w:b/>
          <w:bCs/>
          <w:color w:val="000000" w:themeColor="text1"/>
          <w:sz w:val="20"/>
        </w:rPr>
        <w:t>Ỹ</w:t>
      </w:r>
      <w:r w:rsidRPr="002D71F8">
        <w:rPr>
          <w:rFonts w:ascii="Arial" w:hAnsi="Arial"/>
          <w:b/>
          <w:bCs/>
          <w:color w:val="000000" w:themeColor="text1"/>
          <w:sz w:val="20"/>
        </w:rPr>
        <w:t xml:space="preserve"> THU</w:t>
      </w:r>
      <w:r w:rsidRPr="002D71F8">
        <w:rPr>
          <w:rFonts w:ascii="Arial" w:hAnsi="Arial"/>
          <w:b/>
          <w:bCs/>
          <w:color w:val="000000" w:themeColor="text1"/>
          <w:sz w:val="20"/>
        </w:rPr>
        <w:t>Ậ</w:t>
      </w:r>
      <w:r w:rsidRPr="002D71F8">
        <w:rPr>
          <w:rFonts w:ascii="Arial" w:hAnsi="Arial"/>
          <w:b/>
          <w:bCs/>
          <w:color w:val="000000" w:themeColor="text1"/>
          <w:sz w:val="20"/>
        </w:rPr>
        <w:t>T THEN CH</w:t>
      </w:r>
      <w:r w:rsidRPr="002D71F8">
        <w:rPr>
          <w:rFonts w:ascii="Arial" w:hAnsi="Arial"/>
          <w:b/>
          <w:bCs/>
          <w:color w:val="000000" w:themeColor="text1"/>
          <w:sz w:val="20"/>
        </w:rPr>
        <w:t>Ố</w:t>
      </w:r>
      <w:r w:rsidRPr="002D71F8">
        <w:rPr>
          <w:rFonts w:ascii="Arial" w:hAnsi="Arial"/>
          <w:b/>
          <w:bCs/>
          <w:color w:val="000000" w:themeColor="text1"/>
          <w:sz w:val="20"/>
        </w:rPr>
        <w:t>T VÀ CÔNG NGH</w:t>
      </w:r>
      <w:r w:rsidRPr="002D71F8">
        <w:rPr>
          <w:rFonts w:ascii="Arial" w:hAnsi="Arial"/>
          <w:b/>
          <w:bCs/>
          <w:color w:val="000000" w:themeColor="text1"/>
          <w:sz w:val="20"/>
        </w:rPr>
        <w:t>Ệ</w:t>
      </w:r>
      <w:r w:rsidRPr="002D71F8">
        <w:rPr>
          <w:rFonts w:ascii="Arial" w:hAnsi="Arial"/>
          <w:b/>
          <w:bCs/>
          <w:color w:val="000000" w:themeColor="text1"/>
          <w:sz w:val="20"/>
        </w:rPr>
        <w:t xml:space="preserve"> CHI</w:t>
      </w:r>
      <w:r w:rsidRPr="002D71F8">
        <w:rPr>
          <w:rFonts w:ascii="Arial" w:hAnsi="Arial"/>
          <w:b/>
          <w:bCs/>
          <w:color w:val="000000" w:themeColor="text1"/>
          <w:sz w:val="20"/>
        </w:rPr>
        <w:t>Ế</w:t>
      </w:r>
      <w:r w:rsidRPr="002D71F8">
        <w:rPr>
          <w:rFonts w:ascii="Arial" w:hAnsi="Arial"/>
          <w:b/>
          <w:bCs/>
          <w:color w:val="000000" w:themeColor="text1"/>
          <w:sz w:val="20"/>
        </w:rPr>
        <w:t>N LƯ</w:t>
      </w:r>
      <w:r w:rsidRPr="002D71F8">
        <w:rPr>
          <w:rFonts w:ascii="Arial" w:hAnsi="Arial"/>
          <w:b/>
          <w:bCs/>
          <w:color w:val="000000" w:themeColor="text1"/>
          <w:sz w:val="20"/>
        </w:rPr>
        <w:t>Ợ</w:t>
      </w:r>
      <w:r w:rsidRPr="002D71F8">
        <w:rPr>
          <w:rFonts w:ascii="Arial" w:hAnsi="Arial"/>
          <w:b/>
          <w:bCs/>
          <w:color w:val="000000" w:themeColor="text1"/>
          <w:sz w:val="20"/>
        </w:rPr>
        <w:t>C</w:t>
      </w:r>
      <w:r w:rsidR="002D71F8">
        <w:rPr>
          <w:rFonts w:ascii="Arial" w:hAnsi="Arial"/>
          <w:b/>
          <w:bCs/>
          <w:color w:val="000000" w:themeColor="text1"/>
          <w:sz w:val="20"/>
        </w:rPr>
        <w:br/>
      </w:r>
      <w:r w:rsidRPr="002D71F8">
        <w:rPr>
          <w:rFonts w:ascii="Arial" w:hAnsi="Arial"/>
          <w:b/>
          <w:bCs/>
          <w:color w:val="000000" w:themeColor="text1"/>
          <w:sz w:val="20"/>
        </w:rPr>
        <w:t>ĐƯ</w:t>
      </w:r>
      <w:r w:rsidRPr="002D71F8">
        <w:rPr>
          <w:rFonts w:ascii="Arial" w:hAnsi="Arial"/>
          <w:b/>
          <w:bCs/>
          <w:color w:val="000000" w:themeColor="text1"/>
          <w:sz w:val="20"/>
        </w:rPr>
        <w:t>Ợ</w:t>
      </w:r>
      <w:r w:rsidRPr="002D71F8">
        <w:rPr>
          <w:rFonts w:ascii="Arial" w:hAnsi="Arial"/>
          <w:b/>
          <w:bCs/>
          <w:color w:val="000000" w:themeColor="text1"/>
          <w:sz w:val="20"/>
        </w:rPr>
        <w:t>C HƯ</w:t>
      </w:r>
      <w:r w:rsidRPr="002D71F8">
        <w:rPr>
          <w:rFonts w:ascii="Arial" w:hAnsi="Arial"/>
          <w:b/>
          <w:bCs/>
          <w:color w:val="000000" w:themeColor="text1"/>
          <w:sz w:val="20"/>
        </w:rPr>
        <w:t>Ở</w:t>
      </w:r>
      <w:r w:rsidRPr="002D71F8">
        <w:rPr>
          <w:rFonts w:ascii="Arial" w:hAnsi="Arial"/>
          <w:b/>
          <w:bCs/>
          <w:color w:val="000000" w:themeColor="text1"/>
          <w:sz w:val="20"/>
        </w:rPr>
        <w:t>NG CHÍNH SÁCH H</w:t>
      </w:r>
      <w:r w:rsidRPr="002D71F8">
        <w:rPr>
          <w:rFonts w:ascii="Arial" w:hAnsi="Arial"/>
          <w:b/>
          <w:bCs/>
          <w:color w:val="000000" w:themeColor="text1"/>
          <w:sz w:val="20"/>
        </w:rPr>
        <w:t>Ọ</w:t>
      </w:r>
      <w:r w:rsidRPr="002D71F8">
        <w:rPr>
          <w:rFonts w:ascii="Arial" w:hAnsi="Arial"/>
          <w:b/>
          <w:bCs/>
          <w:color w:val="000000" w:themeColor="text1"/>
          <w:sz w:val="20"/>
        </w:rPr>
        <w:t>C B</w:t>
      </w:r>
      <w:r w:rsidRPr="002D71F8">
        <w:rPr>
          <w:rFonts w:ascii="Arial" w:hAnsi="Arial"/>
          <w:b/>
          <w:bCs/>
          <w:color w:val="000000" w:themeColor="text1"/>
          <w:sz w:val="20"/>
        </w:rPr>
        <w:t>Ổ</w:t>
      </w:r>
      <w:r w:rsidRPr="002D71F8">
        <w:rPr>
          <w:rFonts w:ascii="Arial" w:hAnsi="Arial"/>
          <w:b/>
          <w:bCs/>
          <w:color w:val="000000" w:themeColor="text1"/>
          <w:sz w:val="20"/>
        </w:rPr>
        <w:t>NG</w:t>
      </w:r>
    </w:p>
    <w:p w14:paraId="3A23E065" w14:textId="77777777" w:rsidR="009B5FE3" w:rsidRPr="002D71F8" w:rsidRDefault="009F2CD5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  <w:r w:rsidRPr="002D71F8">
        <w:rPr>
          <w:rFonts w:ascii="Arial" w:hAnsi="Arial"/>
          <w:i/>
          <w:color w:val="000000" w:themeColor="text1"/>
          <w:sz w:val="20"/>
        </w:rPr>
        <w:t>(Kèm theo Ngh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 xml:space="preserve"> đ</w:t>
      </w:r>
      <w:r w:rsidRPr="002D71F8">
        <w:rPr>
          <w:rFonts w:ascii="Arial" w:hAnsi="Arial"/>
          <w:i/>
          <w:color w:val="000000" w:themeColor="text1"/>
          <w:sz w:val="20"/>
        </w:rPr>
        <w:t>ị</w:t>
      </w:r>
      <w:r w:rsidRPr="002D71F8">
        <w:rPr>
          <w:rFonts w:ascii="Arial" w:hAnsi="Arial"/>
          <w:i/>
          <w:color w:val="000000" w:themeColor="text1"/>
          <w:sz w:val="20"/>
        </w:rPr>
        <w:t>nh s</w:t>
      </w:r>
      <w:r w:rsidRPr="002D71F8">
        <w:rPr>
          <w:rFonts w:ascii="Arial" w:hAnsi="Arial"/>
          <w:i/>
          <w:color w:val="000000" w:themeColor="text1"/>
          <w:sz w:val="20"/>
        </w:rPr>
        <w:t>ố</w:t>
      </w:r>
      <w:r w:rsidRPr="002D71F8">
        <w:rPr>
          <w:rFonts w:ascii="Arial" w:hAnsi="Arial"/>
          <w:i/>
          <w:color w:val="000000" w:themeColor="text1"/>
          <w:sz w:val="20"/>
        </w:rPr>
        <w:t xml:space="preserve"> 179/2026/NĐ-CP</w:t>
      </w:r>
      <w:r w:rsidRPr="002D71F8">
        <w:rPr>
          <w:rFonts w:ascii="Arial" w:hAnsi="Arial"/>
          <w:color w:val="000000" w:themeColor="text1"/>
          <w:sz w:val="20"/>
        </w:rPr>
        <w:br/>
      </w:r>
      <w:r w:rsidRPr="002D71F8">
        <w:rPr>
          <w:rFonts w:ascii="Arial" w:hAnsi="Arial"/>
          <w:i/>
          <w:color w:val="000000" w:themeColor="text1"/>
          <w:sz w:val="20"/>
        </w:rPr>
        <w:t xml:space="preserve"> ngày 20 tháng 5 năm 2026 c</w:t>
      </w:r>
      <w:r w:rsidRPr="002D71F8">
        <w:rPr>
          <w:rFonts w:ascii="Arial" w:hAnsi="Arial"/>
          <w:i/>
          <w:color w:val="000000" w:themeColor="text1"/>
          <w:sz w:val="20"/>
        </w:rPr>
        <w:t>ủ</w:t>
      </w:r>
      <w:r w:rsidRPr="002D71F8">
        <w:rPr>
          <w:rFonts w:ascii="Arial" w:hAnsi="Arial"/>
          <w:i/>
          <w:color w:val="000000" w:themeColor="text1"/>
          <w:sz w:val="20"/>
        </w:rPr>
        <w:t>a Chính ph</w:t>
      </w:r>
      <w:r w:rsidRPr="002D71F8">
        <w:rPr>
          <w:rFonts w:ascii="Arial" w:hAnsi="Arial"/>
          <w:i/>
          <w:color w:val="000000" w:themeColor="text1"/>
          <w:sz w:val="20"/>
        </w:rPr>
        <w:t>ủ</w:t>
      </w:r>
      <w:r w:rsidRPr="002D71F8">
        <w:rPr>
          <w:rFonts w:ascii="Arial" w:hAnsi="Arial"/>
          <w:i/>
          <w:color w:val="000000" w:themeColor="text1"/>
          <w:sz w:val="20"/>
        </w:rPr>
        <w:t>)</w:t>
      </w:r>
    </w:p>
    <w:p w14:paraId="0D644FB9" w14:textId="7A7AC03A" w:rsidR="009B5FE3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  <w:vertAlign w:val="superscript"/>
        </w:rPr>
      </w:pPr>
      <w:r w:rsidRPr="002D71F8">
        <w:rPr>
          <w:rFonts w:ascii="Arial" w:hAnsi="Arial"/>
          <w:color w:val="000000" w:themeColor="text1"/>
          <w:sz w:val="20"/>
          <w:vertAlign w:val="superscript"/>
        </w:rPr>
        <w:t>______________</w:t>
      </w:r>
    </w:p>
    <w:p w14:paraId="34010AB5" w14:textId="77777777" w:rsidR="002D71F8" w:rsidRPr="002D71F8" w:rsidRDefault="002D71F8" w:rsidP="002D71F8">
      <w:pPr>
        <w:adjustRightInd w:val="0"/>
        <w:snapToGrid w:val="0"/>
        <w:spacing w:after="0" w:line="240" w:lineRule="auto"/>
        <w:jc w:val="center"/>
        <w:rPr>
          <w:rFonts w:ascii="Arial" w:hAnsi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27"/>
        <w:gridCol w:w="8289"/>
      </w:tblGrid>
      <w:tr w:rsidR="002D71F8" w:rsidRPr="002D71F8" w14:paraId="718BB795" w14:textId="77777777" w:rsidTr="002D71F8">
        <w:tc>
          <w:tcPr>
            <w:tcW w:w="403" w:type="pct"/>
            <w:vAlign w:val="center"/>
          </w:tcPr>
          <w:p w14:paraId="5C531531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STT</w:t>
            </w:r>
          </w:p>
        </w:tc>
        <w:tc>
          <w:tcPr>
            <w:tcW w:w="4597" w:type="pct"/>
            <w:vAlign w:val="center"/>
          </w:tcPr>
          <w:p w14:paraId="7A60E059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b/>
                <w:color w:val="000000" w:themeColor="text1"/>
                <w:sz w:val="20"/>
              </w:rPr>
              <w:t>Nhóm ngành</w:t>
            </w:r>
          </w:p>
        </w:tc>
      </w:tr>
      <w:tr w:rsidR="002D71F8" w:rsidRPr="002D71F8" w14:paraId="2FE380E1" w14:textId="77777777" w:rsidTr="002D71F8">
        <w:tc>
          <w:tcPr>
            <w:tcW w:w="403" w:type="pct"/>
            <w:vAlign w:val="center"/>
          </w:tcPr>
          <w:p w14:paraId="180EB5B5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</w:t>
            </w:r>
          </w:p>
        </w:tc>
        <w:tc>
          <w:tcPr>
            <w:tcW w:w="4597" w:type="pct"/>
            <w:vAlign w:val="center"/>
          </w:tcPr>
          <w:p w14:paraId="075DADDC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Sinh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</w:t>
            </w:r>
          </w:p>
        </w:tc>
      </w:tr>
      <w:tr w:rsidR="002D71F8" w:rsidRPr="002D71F8" w14:paraId="521DC810" w14:textId="77777777" w:rsidTr="002D71F8">
        <w:tc>
          <w:tcPr>
            <w:tcW w:w="403" w:type="pct"/>
            <w:vAlign w:val="center"/>
          </w:tcPr>
          <w:p w14:paraId="45D3F4CE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  <w:tc>
          <w:tcPr>
            <w:tcW w:w="4597" w:type="pct"/>
            <w:vAlign w:val="center"/>
          </w:tcPr>
          <w:p w14:paraId="6F635E19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Sinh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c 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ứ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d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</w:t>
            </w:r>
          </w:p>
        </w:tc>
      </w:tr>
      <w:tr w:rsidR="002D71F8" w:rsidRPr="002D71F8" w14:paraId="1B12F8D7" w14:textId="77777777" w:rsidTr="002D71F8">
        <w:tc>
          <w:tcPr>
            <w:tcW w:w="403" w:type="pct"/>
            <w:vAlign w:val="center"/>
          </w:tcPr>
          <w:p w14:paraId="5B90E5B4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3</w:t>
            </w:r>
          </w:p>
        </w:tc>
        <w:tc>
          <w:tcPr>
            <w:tcW w:w="4597" w:type="pct"/>
            <w:vAlign w:val="center"/>
          </w:tcPr>
          <w:p w14:paraId="60C906B3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Khoa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ch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2D71F8" w:rsidRPr="002D71F8" w14:paraId="0CC0430C" w14:textId="77777777" w:rsidTr="002D71F8">
        <w:tc>
          <w:tcPr>
            <w:tcW w:w="403" w:type="pct"/>
            <w:vAlign w:val="center"/>
          </w:tcPr>
          <w:p w14:paraId="41E11497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4</w:t>
            </w:r>
          </w:p>
        </w:tc>
        <w:tc>
          <w:tcPr>
            <w:tcW w:w="4597" w:type="pct"/>
            <w:vAlign w:val="center"/>
          </w:tcPr>
          <w:p w14:paraId="72DFBF71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Khoa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trái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2D71F8" w:rsidRPr="002D71F8" w14:paraId="104105B6" w14:textId="77777777" w:rsidTr="002D71F8">
        <w:tc>
          <w:tcPr>
            <w:tcW w:w="403" w:type="pct"/>
            <w:vAlign w:val="center"/>
          </w:tcPr>
          <w:p w14:paraId="46D8D38A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5</w:t>
            </w:r>
          </w:p>
        </w:tc>
        <w:tc>
          <w:tcPr>
            <w:tcW w:w="4597" w:type="pct"/>
            <w:vAlign w:val="center"/>
          </w:tcPr>
          <w:p w14:paraId="0738271C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Toán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</w:t>
            </w:r>
          </w:p>
        </w:tc>
      </w:tr>
      <w:tr w:rsidR="002D71F8" w:rsidRPr="002D71F8" w14:paraId="1BC0813E" w14:textId="77777777" w:rsidTr="002D71F8">
        <w:tc>
          <w:tcPr>
            <w:tcW w:w="403" w:type="pct"/>
            <w:vAlign w:val="center"/>
          </w:tcPr>
          <w:p w14:paraId="2984D4DC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6</w:t>
            </w:r>
          </w:p>
        </w:tc>
        <w:tc>
          <w:tcPr>
            <w:tcW w:w="4597" w:type="pct"/>
            <w:vAlign w:val="center"/>
          </w:tcPr>
          <w:p w14:paraId="67E6C92C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Th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 kê</w:t>
            </w:r>
          </w:p>
        </w:tc>
      </w:tr>
      <w:tr w:rsidR="002D71F8" w:rsidRPr="002D71F8" w14:paraId="5C1CF1E8" w14:textId="77777777" w:rsidTr="002D71F8">
        <w:tc>
          <w:tcPr>
            <w:tcW w:w="403" w:type="pct"/>
            <w:vAlign w:val="center"/>
          </w:tcPr>
          <w:p w14:paraId="432ADC59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7</w:t>
            </w:r>
          </w:p>
        </w:tc>
        <w:tc>
          <w:tcPr>
            <w:tcW w:w="4597" w:type="pct"/>
            <w:vAlign w:val="center"/>
          </w:tcPr>
          <w:p w14:paraId="5E541E58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Máy tính</w:t>
            </w:r>
          </w:p>
        </w:tc>
      </w:tr>
      <w:tr w:rsidR="002D71F8" w:rsidRPr="002D71F8" w14:paraId="760D6851" w14:textId="77777777" w:rsidTr="002D71F8">
        <w:tc>
          <w:tcPr>
            <w:tcW w:w="403" w:type="pct"/>
            <w:vAlign w:val="center"/>
          </w:tcPr>
          <w:p w14:paraId="5D792640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8</w:t>
            </w:r>
          </w:p>
        </w:tc>
        <w:tc>
          <w:tcPr>
            <w:tcW w:w="4597" w:type="pct"/>
            <w:vAlign w:val="center"/>
          </w:tcPr>
          <w:p w14:paraId="0BBD3E58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Công ngh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thông tin</w:t>
            </w:r>
          </w:p>
        </w:tc>
      </w:tr>
      <w:tr w:rsidR="002D71F8" w:rsidRPr="002D71F8" w14:paraId="2E5187BB" w14:textId="77777777" w:rsidTr="002D71F8">
        <w:tc>
          <w:tcPr>
            <w:tcW w:w="403" w:type="pct"/>
            <w:vAlign w:val="center"/>
          </w:tcPr>
          <w:p w14:paraId="7B67EE06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9</w:t>
            </w:r>
          </w:p>
        </w:tc>
        <w:tc>
          <w:tcPr>
            <w:tcW w:w="4597" w:type="pct"/>
            <w:vAlign w:val="center"/>
          </w:tcPr>
          <w:p w14:paraId="5D234D18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cơ khí và cơ 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2D71F8" w:rsidRPr="002D71F8" w14:paraId="0CBED9A3" w14:textId="77777777" w:rsidTr="002D71F8">
        <w:tc>
          <w:tcPr>
            <w:tcW w:w="403" w:type="pct"/>
            <w:vAlign w:val="center"/>
          </w:tcPr>
          <w:p w14:paraId="08D0EE00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10</w:t>
            </w:r>
          </w:p>
        </w:tc>
        <w:tc>
          <w:tcPr>
            <w:tcW w:w="4597" w:type="pct"/>
            <w:vAlign w:val="center"/>
          </w:tcPr>
          <w:p w14:paraId="52471A0A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đi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n, đi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 t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và vi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ễ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 thông</w:t>
            </w:r>
          </w:p>
        </w:tc>
      </w:tr>
      <w:tr w:rsidR="002D71F8" w:rsidRPr="002D71F8" w14:paraId="74EFF349" w14:textId="77777777" w:rsidTr="002D71F8">
        <w:tc>
          <w:tcPr>
            <w:tcW w:w="403" w:type="pct"/>
            <w:vAlign w:val="center"/>
          </w:tcPr>
          <w:p w14:paraId="10AFFA31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11</w:t>
            </w:r>
          </w:p>
        </w:tc>
        <w:tc>
          <w:tcPr>
            <w:tcW w:w="4597" w:type="pct"/>
            <w:vAlign w:val="center"/>
          </w:tcPr>
          <w:p w14:paraId="4A1DD136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hóa 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ọ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c, 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li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u, luy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ệ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 kim và môi trư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ờ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</w:t>
            </w:r>
          </w:p>
        </w:tc>
      </w:tr>
      <w:tr w:rsidR="002D71F8" w:rsidRPr="002D71F8" w14:paraId="6FF61440" w14:textId="77777777" w:rsidTr="002D71F8">
        <w:tc>
          <w:tcPr>
            <w:tcW w:w="403" w:type="pct"/>
            <w:vAlign w:val="center"/>
          </w:tcPr>
          <w:p w14:paraId="34551C39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12</w:t>
            </w:r>
          </w:p>
        </w:tc>
        <w:tc>
          <w:tcPr>
            <w:tcW w:w="4597" w:type="pct"/>
            <w:vAlign w:val="center"/>
          </w:tcPr>
          <w:p w14:paraId="40289557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lý 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</w:t>
            </w:r>
          </w:p>
        </w:tc>
      </w:tr>
      <w:tr w:rsidR="002D71F8" w:rsidRPr="002D71F8" w14:paraId="73535C7A" w14:textId="77777777" w:rsidTr="002D71F8">
        <w:tc>
          <w:tcPr>
            <w:tcW w:w="403" w:type="pct"/>
            <w:vAlign w:val="center"/>
          </w:tcPr>
          <w:p w14:paraId="4E73DFCC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13</w:t>
            </w:r>
          </w:p>
        </w:tc>
        <w:tc>
          <w:tcPr>
            <w:tcW w:w="4597" w:type="pct"/>
            <w:vAlign w:val="center"/>
          </w:tcPr>
          <w:p w14:paraId="4E5D7B63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 ch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ấ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t,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 v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lý và tr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ắ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c đ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ị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a</w:t>
            </w:r>
          </w:p>
        </w:tc>
      </w:tr>
      <w:tr w:rsidR="002D71F8" w:rsidRPr="002D71F8" w14:paraId="1E6E2F36" w14:textId="77777777" w:rsidTr="002D71F8">
        <w:tc>
          <w:tcPr>
            <w:tcW w:w="403" w:type="pct"/>
            <w:vAlign w:val="center"/>
          </w:tcPr>
          <w:p w14:paraId="600FBA84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14</w:t>
            </w:r>
          </w:p>
        </w:tc>
        <w:tc>
          <w:tcPr>
            <w:tcW w:w="4597" w:type="pct"/>
            <w:vAlign w:val="center"/>
          </w:tcPr>
          <w:p w14:paraId="56734014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K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ỹ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 xml:space="preserve"> thu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ậ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t m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ỏ</w:t>
            </w:r>
          </w:p>
        </w:tc>
      </w:tr>
      <w:tr w:rsidR="002D71F8" w:rsidRPr="002D71F8" w14:paraId="34223CF2" w14:textId="77777777" w:rsidTr="002D71F8">
        <w:tc>
          <w:tcPr>
            <w:tcW w:w="403" w:type="pct"/>
            <w:vAlign w:val="center"/>
          </w:tcPr>
          <w:p w14:paraId="0415EC55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15</w:t>
            </w:r>
          </w:p>
        </w:tc>
        <w:tc>
          <w:tcPr>
            <w:tcW w:w="4597" w:type="pct"/>
            <w:vAlign w:val="center"/>
          </w:tcPr>
          <w:p w14:paraId="581837D1" w14:textId="77777777" w:rsidR="009B5FE3" w:rsidRPr="002D71F8" w:rsidRDefault="009F2CD5" w:rsidP="002D71F8">
            <w:pPr>
              <w:adjustRightInd w:val="0"/>
              <w:snapToGrid w:val="0"/>
              <w:spacing w:before="80" w:after="80" w:line="240" w:lineRule="auto"/>
              <w:rPr>
                <w:rFonts w:ascii="Arial" w:hAnsi="Arial"/>
                <w:color w:val="000000" w:themeColor="text1"/>
                <w:sz w:val="20"/>
              </w:rPr>
            </w:pPr>
            <w:r w:rsidRPr="002D71F8">
              <w:rPr>
                <w:rFonts w:ascii="Arial" w:hAnsi="Arial"/>
                <w:color w:val="000000" w:themeColor="text1"/>
                <w:sz w:val="20"/>
              </w:rPr>
              <w:t>Xây d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ự</w:t>
            </w:r>
            <w:r w:rsidRPr="002D71F8">
              <w:rPr>
                <w:rFonts w:ascii="Arial" w:hAnsi="Arial"/>
                <w:color w:val="000000" w:themeColor="text1"/>
                <w:sz w:val="20"/>
              </w:rPr>
              <w:t>ng</w:t>
            </w:r>
          </w:p>
        </w:tc>
      </w:tr>
    </w:tbl>
    <w:p w14:paraId="2088D899" w14:textId="77777777" w:rsidR="00B67724" w:rsidRPr="002D71F8" w:rsidRDefault="00B67724" w:rsidP="002D71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color w:val="000000" w:themeColor="text1"/>
          <w:sz w:val="20"/>
        </w:rPr>
      </w:pPr>
    </w:p>
    <w:sectPr w:rsidR="00B67724" w:rsidRPr="002D71F8" w:rsidSect="002D71F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BDC4" w14:textId="77777777" w:rsidR="009F2CD5" w:rsidRDefault="009F2CD5">
      <w:pPr>
        <w:spacing w:after="0" w:line="240" w:lineRule="auto"/>
      </w:pPr>
      <w:r>
        <w:separator/>
      </w:r>
    </w:p>
  </w:endnote>
  <w:endnote w:type="continuationSeparator" w:id="0">
    <w:p w14:paraId="2C2D2C3D" w14:textId="77777777" w:rsidR="009F2CD5" w:rsidRDefault="009F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3714" w14:textId="77777777" w:rsidR="009F2CD5" w:rsidRDefault="009F2CD5">
      <w:pPr>
        <w:spacing w:after="0" w:line="240" w:lineRule="auto"/>
      </w:pPr>
      <w:r>
        <w:separator/>
      </w:r>
    </w:p>
  </w:footnote>
  <w:footnote w:type="continuationSeparator" w:id="0">
    <w:p w14:paraId="40AD324B" w14:textId="77777777" w:rsidR="009F2CD5" w:rsidRDefault="009F2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E3"/>
    <w:rsid w:val="00211F2F"/>
    <w:rsid w:val="00282BCE"/>
    <w:rsid w:val="002D71F8"/>
    <w:rsid w:val="0051604E"/>
    <w:rsid w:val="005C64EF"/>
    <w:rsid w:val="00932369"/>
    <w:rsid w:val="009A3B0F"/>
    <w:rsid w:val="009B5FE3"/>
    <w:rsid w:val="009F2CD5"/>
    <w:rsid w:val="00AA4FA9"/>
    <w:rsid w:val="00AB159B"/>
    <w:rsid w:val="00B67724"/>
    <w:rsid w:val="00D30091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2DCA"/>
  <w15:docId w15:val="{7393023F-0636-45C9-93FB-AA3D166F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F8"/>
  </w:style>
  <w:style w:type="paragraph" w:styleId="Footer">
    <w:name w:val="footer"/>
    <w:basedOn w:val="Normal"/>
    <w:link w:val="FooterChar"/>
    <w:uiPriority w:val="99"/>
    <w:unhideWhenUsed/>
    <w:rsid w:val="002D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3494</Words>
  <Characters>19916</Characters>
  <Application>Microsoft Office Word</Application>
  <DocSecurity>0</DocSecurity>
  <Lines>165</Lines>
  <Paragraphs>46</Paragraphs>
  <ScaleCrop>false</ScaleCrop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6</cp:revision>
  <dcterms:created xsi:type="dcterms:W3CDTF">2026-05-23T01:42:00Z</dcterms:created>
  <dcterms:modified xsi:type="dcterms:W3CDTF">2026-05-25T01:16:00Z</dcterms:modified>
</cp:coreProperties>
</file>