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5738"/>
      </w:tblGrid>
      <w:tr w:rsidR="00441999" w:rsidRPr="0027314E" w:rsidTr="00441999">
        <w:trPr>
          <w:trHeight w:val="886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99" w:rsidRPr="0027314E" w:rsidRDefault="00441999" w:rsidP="004419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2731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27314E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:rsidR="00441999" w:rsidRPr="0027314E" w:rsidRDefault="00441999" w:rsidP="004419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27314E">
              <w:rPr>
                <w:rFonts w:ascii="Arial" w:hAnsi="Arial" w:cs="Arial"/>
                <w:sz w:val="20"/>
                <w:szCs w:val="20"/>
              </w:rPr>
              <w:t>145/2025/NĐ-CP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999" w:rsidRPr="0027314E" w:rsidRDefault="00441999" w:rsidP="004419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731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2731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2731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27314E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:rsidR="00441999" w:rsidRPr="0027314E" w:rsidRDefault="00441999" w:rsidP="00441999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7314E">
              <w:rPr>
                <w:rFonts w:ascii="Arial" w:hAnsi="Arial" w:cs="Arial"/>
                <w:i/>
                <w:sz w:val="20"/>
                <w:szCs w:val="20"/>
              </w:rPr>
              <w:t>Hà Nội, ngày 12 tháng 6 năm 2025</w:t>
            </w:r>
          </w:p>
        </w:tc>
      </w:tr>
    </w:tbl>
    <w:p w:rsidR="00441999" w:rsidRPr="0027314E" w:rsidRDefault="00441999" w:rsidP="004419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41999" w:rsidRPr="0027314E" w:rsidRDefault="00441999" w:rsidP="004419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</w:p>
    <w:p w:rsidR="00F25666" w:rsidRPr="0027314E" w:rsidRDefault="00F25666" w:rsidP="00441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</w:p>
    <w:p w:rsidR="00F25666" w:rsidRPr="0027314E" w:rsidRDefault="00F25666" w:rsidP="004419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</w:t>
      </w:r>
      <w:r w:rsidR="00443C09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ề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</w:t>
      </w:r>
      <w:r w:rsidR="00443C09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3C09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3C09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phương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02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c</w:t>
      </w:r>
      <w:r w:rsidR="00443C09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ấ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p,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lĩnh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vực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</w:t>
      </w:r>
    </w:p>
    <w:p w:rsidR="00441999" w:rsidRPr="0027314E" w:rsidRDefault="00441999" w:rsidP="00441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F25666" w:rsidRPr="0027314E" w:rsidRDefault="00F25666" w:rsidP="00441999">
      <w:pPr>
        <w:spacing w:after="120" w:line="240" w:lineRule="auto"/>
        <w:ind w:firstLine="5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</w:t>
      </w:r>
      <w:r w:rsidR="00443C09"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ă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cứ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</w:t>
      </w:r>
      <w:r w:rsidR="00443C09"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ổ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phủ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2025;</w:t>
      </w:r>
    </w:p>
    <w:p w:rsidR="00F25666" w:rsidRPr="0027314E" w:rsidRDefault="00F25666" w:rsidP="00441999">
      <w:pPr>
        <w:spacing w:after="120" w:line="240" w:lineRule="auto"/>
        <w:ind w:firstLine="5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Căn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cứ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</w:t>
      </w:r>
      <w:r w:rsidR="00443C09"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í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nh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phương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năm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2025;</w:t>
      </w:r>
    </w:p>
    <w:p w:rsidR="00F25666" w:rsidRPr="0027314E" w:rsidRDefault="00443C09" w:rsidP="00441999">
      <w:pPr>
        <w:spacing w:after="120" w:line="240" w:lineRule="auto"/>
        <w:ind w:firstLine="6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Căn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cứ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quyết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số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190/2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02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5/QH1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5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ngày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19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á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0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năm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2025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hội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xử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một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s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ố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vấn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đề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liên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đến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sắp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x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ế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ổ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máy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F25666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nước;</w:t>
      </w:r>
    </w:p>
    <w:p w:rsidR="00F25666" w:rsidRPr="0027314E" w:rsidRDefault="00F25666" w:rsidP="00441999">
      <w:pPr>
        <w:spacing w:after="120" w:line="240" w:lineRule="auto"/>
        <w:ind w:firstLine="6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đề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trưởng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X</w:t>
      </w:r>
      <w:r w:rsidR="00443C09"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â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dựng;</w:t>
      </w:r>
    </w:p>
    <w:p w:rsidR="00F25666" w:rsidRPr="0027314E" w:rsidRDefault="00F25666" w:rsidP="00441999">
      <w:pPr>
        <w:spacing w:after="0" w:line="240" w:lineRule="auto"/>
        <w:ind w:firstLine="60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phủ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</w:t>
      </w:r>
      <w:r w:rsidR="00443C09"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phương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02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cấp,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</w:t>
      </w:r>
      <w:r w:rsidR="00443C09" w:rsidRPr="0027314E">
        <w:rPr>
          <w:rFonts w:ascii="Arial" w:eastAsia="Times New Roman" w:hAnsi="Arial" w:cs="Arial"/>
          <w:i/>
          <w:iCs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n,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lĩnh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vực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thôn.</w:t>
      </w:r>
    </w:p>
    <w:p w:rsidR="00441999" w:rsidRPr="0027314E" w:rsidRDefault="00441999" w:rsidP="004419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</w:p>
    <w:p w:rsidR="00F25666" w:rsidRPr="0027314E" w:rsidRDefault="00F25666" w:rsidP="00441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Chương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</w:t>
      </w:r>
    </w:p>
    <w:p w:rsidR="00F25666" w:rsidRPr="0027314E" w:rsidRDefault="00F25666" w:rsidP="004419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</w:t>
      </w:r>
      <w:r w:rsidR="00443C09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U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</w:t>
      </w:r>
    </w:p>
    <w:p w:rsidR="00441999" w:rsidRPr="0027314E" w:rsidRDefault="00441999" w:rsidP="00441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Phạm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vi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chỉnh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2.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Nguyên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tắc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tắc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chung: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tắc,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br w:type="textWrapping" w:clear="all"/>
        <w:t>b)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thống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khai,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minh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ki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ể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soát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gắn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sát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ả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con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khai,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minh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lợi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cận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nghĩa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ảnh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hưởng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thường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thường,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su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ố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con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lợi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</w:t>
      </w:r>
      <w:r w:rsidR="0027314E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cận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nghĩa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ảnh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hưởng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tế,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thỏa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Cộng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hòa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nghĩa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Nam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viên.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e)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Nguồn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định.</w:t>
      </w:r>
      <w:bookmarkStart w:id="0" w:name="_GoBack"/>
      <w:bookmarkEnd w:id="0"/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ắ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tắc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a)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trùng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lặp,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chồng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chéo,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bỏ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sót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rõ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rõ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tắc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tắc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thống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đứng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tướng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ngang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tập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tầm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vĩ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kế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thống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vai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trò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cường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sát.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Đẩy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mạnh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rõ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r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õ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bỏ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sót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chồng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lấn,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thoa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thường,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suốt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đoạn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ể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chồng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chéo,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trùng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lặp,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bỏ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sót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ă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bàn.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3.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V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ề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phí,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lệ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phí</w:t>
      </w:r>
    </w:p>
    <w:p w:rsidR="00F25666" w:rsidRPr="0027314E" w:rsidRDefault="00F25666" w:rsidP="0044199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lệ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lệ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lệ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sơ.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lệ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sử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lệ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lệ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phí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ứng.</w:t>
      </w:r>
    </w:p>
    <w:p w:rsidR="00441999" w:rsidRPr="0027314E" w:rsidRDefault="00441999" w:rsidP="004419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</w:p>
    <w:p w:rsidR="00F25666" w:rsidRPr="0027314E" w:rsidRDefault="00F25666" w:rsidP="00441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Chương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II</w:t>
      </w:r>
    </w:p>
    <w:p w:rsidR="00F25666" w:rsidRPr="0027314E" w:rsidRDefault="00F25666" w:rsidP="00441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</w:t>
      </w:r>
      <w:r w:rsidR="0061780E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61780E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KHI</w:t>
      </w:r>
    </w:p>
    <w:p w:rsidR="00F25666" w:rsidRPr="0027314E" w:rsidRDefault="00F25666" w:rsidP="004419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</w:t>
      </w:r>
      <w:r w:rsidR="0061780E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Ổ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PHƯƠNG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02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</w:t>
      </w:r>
      <w:r w:rsidR="0061780E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Ấ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TRONG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LĨNH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</w:t>
      </w:r>
      <w:r w:rsidR="0061780E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ỰC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</w:t>
      </w:r>
    </w:p>
    <w:p w:rsidR="00441999" w:rsidRPr="0027314E" w:rsidRDefault="00441999" w:rsidP="00441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" w:name="bookmark1"/>
      <w:bookmarkStart w:id="2" w:name="bookmark0"/>
      <w:bookmarkEnd w:id="1"/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4.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</w:t>
      </w:r>
      <w:r w:rsidR="0061780E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ổ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lập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</w:t>
      </w:r>
      <w:bookmarkEnd w:id="2"/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như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17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trở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17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48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lastRenderedPageBreak/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5.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thâm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như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38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trở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38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48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6.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như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Điêu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48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Căn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cứ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tư,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</w:rPr>
        <w:t>ấ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7.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52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lưu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cắm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55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3.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thôn.</w:t>
      </w:r>
    </w:p>
    <w:p w:rsidR="00441999" w:rsidRPr="0027314E" w:rsidRDefault="00441999" w:rsidP="004419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</w:p>
    <w:p w:rsidR="00F25666" w:rsidRPr="0027314E" w:rsidRDefault="00F25666" w:rsidP="00441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Chương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III</w:t>
      </w:r>
    </w:p>
    <w:p w:rsidR="00F25666" w:rsidRPr="0027314E" w:rsidRDefault="00F25666" w:rsidP="004419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</w:t>
      </w:r>
      <w:r w:rsidR="003F2CD2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UYỀN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,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LĨNH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VỰC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</w:t>
      </w:r>
    </w:p>
    <w:p w:rsidR="00441999" w:rsidRPr="0027314E" w:rsidRDefault="00441999" w:rsidP="00441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" w:name="bookmark3"/>
      <w:bookmarkStart w:id="4" w:name="bookmark2"/>
      <w:bookmarkEnd w:id="3"/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8.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lập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</w:t>
      </w:r>
      <w:bookmarkEnd w:id="4"/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17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9.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38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ố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38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thâm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ố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ninh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cần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bí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10.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tướng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tướng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tướng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ninh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cần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bí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này: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thôn;</w:t>
      </w:r>
    </w:p>
    <w:p w:rsidR="00F25666" w:rsidRPr="0027314E" w:rsidRDefault="00F25666" w:rsidP="0044199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bố,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rà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soát,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mình,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đúng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thôn;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tiết.</w:t>
      </w:r>
    </w:p>
    <w:p w:rsidR="00441999" w:rsidRPr="0027314E" w:rsidRDefault="00441999" w:rsidP="004419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25666" w:rsidRPr="0027314E" w:rsidRDefault="00F25666" w:rsidP="00441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Ch</w:t>
      </w:r>
      <w:r w:rsidR="003F2CD2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ươ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ng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IV</w:t>
      </w:r>
    </w:p>
    <w:p w:rsidR="00F25666" w:rsidRPr="0027314E" w:rsidRDefault="00F25666" w:rsidP="004419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</w:t>
      </w:r>
      <w:r w:rsidR="003F2CD2" w:rsidRPr="00273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THI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HÀNH</w:t>
      </w:r>
    </w:p>
    <w:p w:rsidR="00441999" w:rsidRPr="0027314E" w:rsidRDefault="00441999" w:rsidP="004419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" w:name="bookmark5"/>
      <w:bookmarkStart w:id="6" w:name="bookmark4"/>
      <w:bookmarkEnd w:id="5"/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11.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hiện</w:t>
      </w:r>
      <w:bookmarkEnd w:id="6"/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Kể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7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2025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sửa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u,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như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28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41.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trấn,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trở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trấn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17,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24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41.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trở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17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41.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điếm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6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30,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38,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41.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lấy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bằng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37,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trừ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tâm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6.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lấy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thống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ằ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ối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49.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7.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“Thành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mới”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tỉnh”.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8.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trở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ương”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tỉnh”.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9.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“Chủ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huyện”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39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“Chủ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27314E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xã”.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10.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“Huyện,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xã”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45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46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thôn”.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huyện”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37,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48,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55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7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59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xã”.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“Thành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phố”,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“thị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xã”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12.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thi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hành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7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2025.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kể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2027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trừ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3C0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ngang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kéo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dài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phần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này;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lệnh,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F2CD2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Thường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tướng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kể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7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2025,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2027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nếu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tự,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13.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chuyển</w:t>
      </w:r>
      <w:r w:rsidR="00441999"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tiếp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đang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chưa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27314E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thôn.</w:t>
      </w:r>
    </w:p>
    <w:p w:rsidR="00F25666" w:rsidRPr="0027314E" w:rsidRDefault="00F25666" w:rsidP="0044199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</w:rPr>
        <w:lastRenderedPageBreak/>
        <w:t>2.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đang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căn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cứ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sắp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xếp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61780E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tiễn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2024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:rsidR="0027314E" w:rsidRDefault="00F25666" w:rsidP="0027314E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thiết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kế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hết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59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273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2024.</w:t>
      </w:r>
    </w:p>
    <w:p w:rsidR="00F25666" w:rsidRPr="0027314E" w:rsidRDefault="00F25666" w:rsidP="0027314E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đang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điểm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sắp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xếp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ơ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x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</w:rPr>
        <w:t>ã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mới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sáp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441999"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định./</w:t>
      </w:r>
    </w:p>
    <w:p w:rsidR="00441999" w:rsidRPr="0027314E" w:rsidRDefault="00441999" w:rsidP="0044199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</w:p>
    <w:tbl>
      <w:tblPr>
        <w:tblW w:w="495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3906"/>
      </w:tblGrid>
      <w:tr w:rsidR="00441999" w:rsidRPr="0027314E" w:rsidTr="0027314E">
        <w:trPr>
          <w:trHeight w:val="4364"/>
          <w:tblCellSpacing w:w="0" w:type="dxa"/>
        </w:trPr>
        <w:tc>
          <w:tcPr>
            <w:tcW w:w="28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999" w:rsidRPr="0027314E" w:rsidRDefault="00441999" w:rsidP="0044199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314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Ban Bí thư Trung ương Đảng;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Thủ tướng, các Phó Thủ tướng Chính phủ;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Các bộ, cơ quan ngang bộ, cơ quan thuộc Chính phủ;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- HĐND, </w:t>
            </w: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BND các tỉnh, thành phố trực thuộc trung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- Văn phòng Trung ương và các Ban của Đảng; 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Văn phòng Tổng Bí thư;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Văn phòng Chủ tịch nước;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- Hội đồng Dân tộc và các </w:t>
            </w: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</w:t>
            </w: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y ban của Quốc hội;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Văn phòng Quốc hội;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Tòa án nhân dân tối cao;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Viện kiểm sát nhân dân tối cao;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Kiểm toán nhà nước;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- </w:t>
            </w: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</w:t>
            </w: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y ban Trung ương Mặt trận Tổ quốc Việt Nam;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Cơ quan trung ương của các đoàn thể;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VPCP: BTCN, các PCN, Trợ lý TTg, TGĐ cổng TTĐT,</w:t>
            </w: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các Vụ, Cục, đơn vị trực thuộc, Công báo;</w:t>
            </w:r>
          </w:p>
          <w:p w:rsidR="00441999" w:rsidRPr="0027314E" w:rsidRDefault="00441999" w:rsidP="0044199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1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Lưu: VT, CN (2b)</w:t>
            </w:r>
            <w:r w:rsidRPr="0027314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</w:p>
        </w:tc>
        <w:tc>
          <w:tcPr>
            <w:tcW w:w="21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999" w:rsidRPr="0027314E" w:rsidRDefault="00441999" w:rsidP="004419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314E"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:rsidR="00441999" w:rsidRPr="0027314E" w:rsidRDefault="00441999" w:rsidP="004419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314E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KT.THỦ TƯỚNG</w:t>
            </w:r>
          </w:p>
          <w:p w:rsidR="00441999" w:rsidRPr="0027314E" w:rsidRDefault="00441999" w:rsidP="004419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314E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:rsidR="00441999" w:rsidRPr="0027314E" w:rsidRDefault="00441999" w:rsidP="004419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7314E" w:rsidRDefault="0027314E" w:rsidP="004419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7314E" w:rsidRDefault="0027314E" w:rsidP="004419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7314E" w:rsidRDefault="0027314E" w:rsidP="004419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7314E" w:rsidRDefault="0027314E" w:rsidP="004419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41999" w:rsidRPr="0027314E" w:rsidRDefault="00441999" w:rsidP="004419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314E"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Hòa Bình</w:t>
            </w:r>
          </w:p>
        </w:tc>
      </w:tr>
    </w:tbl>
    <w:p w:rsidR="00441999" w:rsidRPr="0027314E" w:rsidRDefault="00441999" w:rsidP="00441999">
      <w:pPr>
        <w:spacing w:after="0" w:line="240" w:lineRule="auto"/>
        <w:ind w:firstLine="58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25666" w:rsidRPr="0027314E" w:rsidRDefault="00F25666" w:rsidP="004419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br w:type="textWrapping" w:clear="all"/>
      </w:r>
    </w:p>
    <w:p w:rsidR="00F25666" w:rsidRPr="0027314E" w:rsidRDefault="00441999" w:rsidP="004419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</w:p>
    <w:p w:rsidR="00F25666" w:rsidRPr="0027314E" w:rsidRDefault="00F25666" w:rsidP="004419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25666" w:rsidRPr="0027314E" w:rsidRDefault="00F25666" w:rsidP="004419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F25666" w:rsidRPr="0027314E" w:rsidRDefault="00F25666" w:rsidP="004419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F25666" w:rsidRPr="0027314E" w:rsidRDefault="00F25666" w:rsidP="004419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25666" w:rsidRPr="0027314E" w:rsidRDefault="00441999" w:rsidP="004419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</w:p>
    <w:p w:rsidR="00F25666" w:rsidRPr="0027314E" w:rsidRDefault="00441999" w:rsidP="002731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</w:p>
    <w:p w:rsidR="00F25666" w:rsidRPr="0027314E" w:rsidRDefault="00441999" w:rsidP="004419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</w:p>
    <w:p w:rsidR="00F25666" w:rsidRPr="0027314E" w:rsidRDefault="00441999" w:rsidP="004419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14E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</w:p>
    <w:sectPr w:rsidR="00F25666" w:rsidRPr="0027314E" w:rsidSect="00441999">
      <w:pgSz w:w="11907" w:h="16839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92" w:rsidRDefault="001F1992" w:rsidP="00DA0E70">
      <w:pPr>
        <w:spacing w:after="0" w:line="240" w:lineRule="auto"/>
      </w:pPr>
      <w:r>
        <w:separator/>
      </w:r>
    </w:p>
  </w:endnote>
  <w:endnote w:type="continuationSeparator" w:id="0">
    <w:p w:rsidR="001F1992" w:rsidRDefault="001F1992" w:rsidP="00DA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92" w:rsidRDefault="001F1992" w:rsidP="00DA0E70">
      <w:pPr>
        <w:spacing w:after="0" w:line="240" w:lineRule="auto"/>
      </w:pPr>
      <w:r>
        <w:separator/>
      </w:r>
    </w:p>
  </w:footnote>
  <w:footnote w:type="continuationSeparator" w:id="0">
    <w:p w:rsidR="001F1992" w:rsidRDefault="001F1992" w:rsidP="00DA0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66"/>
    <w:rsid w:val="001820D5"/>
    <w:rsid w:val="001F1992"/>
    <w:rsid w:val="0027314E"/>
    <w:rsid w:val="003F2CD2"/>
    <w:rsid w:val="00441999"/>
    <w:rsid w:val="00443C09"/>
    <w:rsid w:val="00506385"/>
    <w:rsid w:val="0061780E"/>
    <w:rsid w:val="008108D7"/>
    <w:rsid w:val="00DA0E70"/>
    <w:rsid w:val="00F25666"/>
    <w:rsid w:val="00F5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900975-F4D8-4EB6-8F48-07B2EDF8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her0">
    <w:name w:val="other0"/>
    <w:basedOn w:val="Normal"/>
    <w:rsid w:val="00F25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aption0">
    <w:name w:val="tablecaption0"/>
    <w:basedOn w:val="Normal"/>
    <w:rsid w:val="00F25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25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F2566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0">
    <w:name w:val="heading10"/>
    <w:basedOn w:val="Normal"/>
    <w:rsid w:val="00F25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0">
    <w:name w:val="bodytext20"/>
    <w:basedOn w:val="Normal"/>
    <w:rsid w:val="00F25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E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E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XUÂN HUY</cp:lastModifiedBy>
  <cp:revision>4</cp:revision>
  <dcterms:created xsi:type="dcterms:W3CDTF">2025-06-13T02:51:00Z</dcterms:created>
  <dcterms:modified xsi:type="dcterms:W3CDTF">2025-06-14T02:11:00Z</dcterms:modified>
</cp:coreProperties>
</file>