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285"/>
      </w:tblGrid>
      <w:tr w:rsidR="002D74AD" w:rsidRPr="002D74AD" w:rsidTr="002D74AD">
        <w:trPr>
          <w:trHeight w:val="639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4AD" w:rsidRPr="002D74AD" w:rsidRDefault="002D74AD" w:rsidP="002D74A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QUỐC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HỘI</w:t>
            </w:r>
          </w:p>
          <w:p w:rsidR="002D74AD" w:rsidRPr="002D74AD" w:rsidRDefault="002D74AD" w:rsidP="002D74A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74AD">
              <w:rPr>
                <w:rFonts w:ascii="Arial" w:eastAsia="Times New Roman" w:hAnsi="Arial" w:cs="Arial"/>
                <w:spacing w:val="-2"/>
                <w:sz w:val="20"/>
                <w:szCs w:val="20"/>
                <w:vertAlign w:val="superscript"/>
              </w:rPr>
              <w:t>______________</w:t>
            </w:r>
          </w:p>
          <w:p w:rsidR="002D74AD" w:rsidRPr="002D74AD" w:rsidRDefault="002D74AD" w:rsidP="002D74A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74A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Nghị</w:t>
            </w:r>
            <w:r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quyết</w:t>
            </w:r>
            <w:r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số:</w:t>
            </w:r>
            <w:r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174/2024/QH15</w:t>
            </w:r>
          </w:p>
        </w:tc>
        <w:tc>
          <w:tcPr>
            <w:tcW w:w="5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4AD" w:rsidRPr="002D74AD" w:rsidRDefault="002D74AD" w:rsidP="002D74A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CỘNG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HÒA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XÃ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HỘI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CHỦ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NGHĨA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VIỆT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</w:t>
            </w:r>
          </w:p>
          <w:p w:rsidR="002D74AD" w:rsidRPr="002D74AD" w:rsidRDefault="002D74AD" w:rsidP="002D74A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Độc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lập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Tự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Hạnh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phúc</w:t>
            </w:r>
          </w:p>
          <w:p w:rsidR="002D74AD" w:rsidRPr="002D74AD" w:rsidRDefault="002D74AD" w:rsidP="002D74A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2D74AD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>_______________</w:t>
            </w:r>
          </w:p>
        </w:tc>
      </w:tr>
    </w:tbl>
    <w:p w:rsidR="002D74AD" w:rsidRPr="002D74AD" w:rsidRDefault="002D74AD" w:rsidP="002D74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</w:pPr>
    </w:p>
    <w:p w:rsidR="002D74AD" w:rsidRPr="002D74AD" w:rsidRDefault="002D74AD" w:rsidP="002D74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 xml:space="preserve"> 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>QUYẾT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Kỳ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họp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8,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khóa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XV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________________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Hiến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Cộng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hòa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xã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chủ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nghĩa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Nam;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Tổ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chức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57/2014/QH13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đã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được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sửa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đổi,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bổ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sung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65/2020/QH14;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kết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quả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Kỳ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họp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thứ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8,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khóa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XV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từ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21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10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2024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đến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13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11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2024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từ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20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11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2024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đến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</w:rPr>
        <w:t>30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11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2024;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Theo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đề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nghị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Ủy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ban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Thường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vụ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Quốc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hội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và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ý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kiến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các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đại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biểu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Quốc</w:t>
      </w:r>
      <w:r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4"/>
          <w:sz w:val="20"/>
          <w:szCs w:val="20"/>
        </w:rPr>
        <w:t>hội,</w:t>
      </w:r>
    </w:p>
    <w:p w:rsidR="002D74AD" w:rsidRDefault="002D74AD" w:rsidP="002D74AD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</w:pPr>
      <w:r w:rsidRPr="002D74AD"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>NGHỊ: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1.</w:t>
      </w:r>
      <w:r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18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ý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lần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đầu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đối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với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10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dự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>(danh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>mục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>kèm</w:t>
      </w:r>
      <w:r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val="nl-NL"/>
        </w:rPr>
        <w:t>theo)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kịp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họp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thứ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8,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gắn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chặt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giữa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bằng,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nghiêm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minh,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quán,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kịp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lực,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biểu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kiến;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khẩn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chuẩn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họp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thứ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9,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khóa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XV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lượng,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độ.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lý,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sử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dụng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sản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công,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họp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thứ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9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trị,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81/KH-UBTVQH15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val="de-DE"/>
        </w:rPr>
        <w:t>2.</w:t>
      </w:r>
      <w:r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đánh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giá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tác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chỉ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đạo,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điều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hành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tổ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chức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liệt,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hiệu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nhiệm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vụ,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phủ,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Thủ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tướng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ngành,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phương;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biểu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dương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tinh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thần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nỗ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lực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cộng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doanh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nghiệp,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tầng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lớp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đã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hoàn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vượt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nhiều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tiêu,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kinh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tế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xã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2024.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phối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hợp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hữu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kịp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thời,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toàn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tiêu,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Đảng,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ra,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phấn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mức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Kế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hoạch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tế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2025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2025.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thời,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Báo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cáo,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Tờ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de-DE"/>
        </w:rPr>
        <w:t>3.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yêu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yêu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đúng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duy,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lập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yêu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khuyến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khích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phóng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xuất,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mọi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từ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bỏ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“không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thì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cấm”;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mang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ổn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lâu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dài,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minh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bạch,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dễ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cận,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thích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ứng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sự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động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tiễn,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mang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hệ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thống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chặt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chẽ,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góp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hòa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triển;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b)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siết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chặt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cương,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soát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người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đứng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từng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khâu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trình.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Kịp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thời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phát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hiện,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xử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lý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nghiêm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mọi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hành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tham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nhũng,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lãng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phí,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cực,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ghép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ích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nhóm,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ích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cục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đúng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số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178-QĐ/TW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soát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lực,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phòng,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chống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tham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nhũng,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luật;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lastRenderedPageBreak/>
        <w:t>c)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Khẩn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sớm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thuộc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thể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hóa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hướng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mới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dựng,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thống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hệ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thống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kịp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động,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thể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quan;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động,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tích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cực,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khẩn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khung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khổ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những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vấn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mới,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hướng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mới,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những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vấn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tiễn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đặt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ra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nhưng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chưa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vấn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nghiệp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4.0,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tuệ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chuyển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chuyển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xanh,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tuần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hoàn,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khuôn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cuộc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chuyển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4.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chống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ngừa,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nhũng,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lãng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phí,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cực,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xét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xử,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án,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yêu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cầu: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a)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Tòa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cao,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hữu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chỉ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tiêu,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vụ,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theo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số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96/2019/QH14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khác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hội.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rà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soát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lĩnh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tố,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xét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xử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thầu,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giá,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xây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dựng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bản,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đai,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khoáng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sản,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xăng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dầu,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điện...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lĩnh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dễ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sinh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nhũng,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cực,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lãng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phí;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kịp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còn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phù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hợp,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chồng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chéo,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chưa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thống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hoặc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xuất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phù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hợp;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quả;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b)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hữu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phòng,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chống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tranh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đối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loại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phạm,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túy,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lừa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đảo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chiếm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đoạt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sản,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xâm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trẻ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em,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trốn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thuế,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khoáng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sản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phép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nghệ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cao...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nước,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thanh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ngăn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chặn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nhũng,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lãng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phí,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cực;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hồi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sản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nhũng.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khắc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cập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giám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định,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giá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sản;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kỷ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kỷ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cương,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nâng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lực,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c)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Tòa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khẩn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trương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tổ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chức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thi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Tổ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2024;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nâng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lượng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xét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xử,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nâng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lượng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tố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hoạt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động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pháp.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hoạt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động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sự,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kiến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xử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hợp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sự,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luật.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</w:rPr>
        <w:t>5.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hợp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ý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kiến,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gửi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họp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thứ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8,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khóa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XV,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giám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quyết,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lời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gửi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họp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thứ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7,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khóa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XV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Báo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dân,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xử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lý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thư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giám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khiếu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nại,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gửi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2024;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đánh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nỗ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lực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tướng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Bộ,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ngành,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trung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quyền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địa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phương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quyết,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lời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tri;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thư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khiếu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nại,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chuyển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2024.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cao,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ngành,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ương,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cấp,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năng,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giao,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cứu,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thu,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lời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xuất,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Đoàn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tịch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Ủy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Mặt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trận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uan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tâm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lời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kiến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cử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tri;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tập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nại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phức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tạp,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kéo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dài;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tỉnh,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thuộc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khai,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623/NQ-UBTVQH15.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6.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ghi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nhận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sự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nỗ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lực,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tâm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ngành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khai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thí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điểm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chế,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đặc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thù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phố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Phòng,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Cần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Thơ,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tỉnh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Thanh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Hóa,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tỉnh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Thừa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Thiên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Huế.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Tuy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nhiên,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còn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chưa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ứng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ra.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Yêu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cầu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tăng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cường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nâng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thần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nhiệm,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tâm,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phấn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đấu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sớm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khắc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mắc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hợp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giữa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rà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soát,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cấp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xem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xét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dẫn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phù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hợp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tiễn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val="nl-NL"/>
        </w:rPr>
        <w:lastRenderedPageBreak/>
        <w:t>7</w:t>
      </w:r>
      <w:r w:rsidRPr="002D74AD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val="vi-VN"/>
        </w:rPr>
        <w:t>.</w:t>
      </w:r>
      <w:r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họp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thứ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10,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khóa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XV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quả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120/2020/QH14,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24/2021/QH15,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25/2021/QH15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chương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xuất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Chương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2026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2030.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phép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kéo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dài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(bao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gồm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2022,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chuyển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sang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31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2025.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8.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2%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nhóm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hóa,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dịch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1.1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43/2022/QH15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khóa,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tệ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hỗ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Chương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phục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hồi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kinh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tế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xã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gian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từ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01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01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2025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hết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30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6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2025.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hiện,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chịu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thu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khả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năng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đối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2025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đã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định;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chấm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dứt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ngay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lực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miễn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giá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trị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tăng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78/2010/QĐ-TTg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tướng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làm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sở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ngoài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hóa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9.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điện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hạt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Ninh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Thuận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Tờ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811/TTr-CP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25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11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2024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phủ.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khẩn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cấp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lượng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nguyên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tử.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  <w:lang w:val="nl-NL"/>
        </w:rPr>
        <w:t>10.</w:t>
      </w:r>
      <w:r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ý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chỉnh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hoạch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sử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dụng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đất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2021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2030,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tầm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nhìn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2050.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động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cứu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qua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4"/>
          <w:sz w:val="20"/>
          <w:szCs w:val="20"/>
        </w:rPr>
        <w:t>chỉnh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dụng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2030,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tầm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nhìn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2050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2025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fr-FR"/>
        </w:rPr>
        <w:t>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>11.</w:t>
      </w:r>
      <w:r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Cảng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Thành,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thể: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mô,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6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94/2015/QH13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6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2015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sau: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“Giai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02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ở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Bắc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01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cùng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khách/năm,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1,2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tấn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hóa/năm;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chậm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31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2026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thác”.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phép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phê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duyệt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94/2015/QH13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hội;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b)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chỉnh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mô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khoản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95/2019/QH14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26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11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2019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như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sau: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“Đầu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xây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dựng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02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đường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ở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phía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Bắc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01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cùng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phụ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suất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25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khách/năm,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1,2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tấn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hóa/năm”.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dung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95/2019/QH14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12</w:t>
      </w:r>
      <w:r w:rsidRPr="002D74AD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val="vi-VN"/>
        </w:rPr>
        <w:t>.</w:t>
      </w:r>
      <w:r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Chấp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thuận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chủ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trương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đầu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tư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bổ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sung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vốn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duy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trì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tỷ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lệ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vốn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góp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Ngân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hàng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mại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phần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Ngoại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Nam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với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số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tiền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20.695.100.980.000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từ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tức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bằng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phiếu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chia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đông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từ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nguồn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lợi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nhuận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còn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lại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lũy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kế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đến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hết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2018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lợi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nhuận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còn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lại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2021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Ngân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hàng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mại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phần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Ngoại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Nam.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tư,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Ngoại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đúng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luật;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chịu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trách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trước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mô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Ngoại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Nam.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ảnh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hưởng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từ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dịch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Covid-19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sớm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hồi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vững,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thể: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phép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chào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thêm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phiếu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hữu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lệ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mô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22.000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ứng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54/2019/QH14,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đó: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1: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phép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doanh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thay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mặt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mua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phiếu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thuộc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mua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(Ủy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doanh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nghiệp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lastRenderedPageBreak/>
        <w:t>Nhà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nước)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thức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chuyển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mua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khi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lệ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01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mô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9.000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Chấp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thuận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(trong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đó,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gồm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chuyển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mua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doanh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nghiệp)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mô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13.000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hợp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sinh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vướng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mắc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thì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tiếp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cấp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b)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phép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Pacific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Airlines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xóa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chậm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nộp,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chậm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sinh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còn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31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Pacific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Airlines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còn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(nợ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gốc)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31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Sau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trên,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chậm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nộp,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đôn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dụng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cưỡng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đúng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chịu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toàn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liệu,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xuất;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thời,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rõ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việc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cam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trước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việc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khai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này.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xem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xét,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kế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hoạch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2025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việc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hoạt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động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liên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lý,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dụng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vốn,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sản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Nam,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kịp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có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thẩm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Nam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nhằm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tránh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thoát,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lãng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hỗ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góp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phần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nâng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hoạt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động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sản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xuất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doanh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Hàng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Nam.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val="de-DE"/>
        </w:rPr>
        <w:t>14.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Đồng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ý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de-DE"/>
        </w:rPr>
        <w:t>b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sở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73/2024/NĐ-CP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thể: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a)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55.000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tích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lũy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ứng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đó: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Tờ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54/TTr-CP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ngày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25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tháng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11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2024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còn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55.000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tỷ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sau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phòng,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Bộ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2.980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tỷ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trong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đối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nước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đã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được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105/2023/QH15,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2024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Tờ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54/TTr-CP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khẩn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này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ngành,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kịp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b)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chịu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xuất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tuân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cáo,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thiết,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đủ,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hợp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tuân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chuẩn,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mức,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đúng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khẩn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đúng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đích,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phép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chế,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cấp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cần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thiết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03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trọng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Đảng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xuất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Tờ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56/TTr-CP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ngày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27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tháng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11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năm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2024.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phủ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chỉ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đạo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khai,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thực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đảm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tiến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độ,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chất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lượng,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tiết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kiệm,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hiệu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quả,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để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xảy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ra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cực,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thất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thoát,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lãng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phí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</w:rPr>
        <w:t>nước.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val="nl-NL"/>
        </w:rPr>
        <w:t>16.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bookmarkStart w:id="1" w:name="_Hlk172295678"/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Thường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Thủ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tướng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phủ,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ban</w:t>
      </w:r>
      <w:bookmarkEnd w:id="1"/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Mặt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trận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Nam,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Viện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cao,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tộc,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Kiểm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toán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nước,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ngành,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ương,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cấp,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năng,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giao,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này;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tăng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tuyên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truyền,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biến,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giáo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dục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sớm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khai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luật,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2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qua.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72295722"/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Thường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đồng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tộc,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pacing w:val="-2"/>
          <w:sz w:val="20"/>
          <w:szCs w:val="20"/>
          <w:lang w:val="nl-NL"/>
        </w:rPr>
        <w:t xml:space="preserve"> </w:t>
      </w:r>
      <w:bookmarkEnd w:id="2"/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Đoàn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đại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biểu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đại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biểu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giám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này.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Mặt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trận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viên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Mặt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trận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giám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sát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động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viên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tầng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lớp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4"/>
          <w:sz w:val="20"/>
          <w:szCs w:val="20"/>
          <w:lang w:val="nl-NL"/>
        </w:rPr>
        <w:t>này.</w:t>
      </w:r>
    </w:p>
    <w:p w:rsidR="002D74AD" w:rsidRPr="002D74AD" w:rsidRDefault="002D74AD" w:rsidP="002D74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________________________________________________________________________</w:t>
      </w:r>
    </w:p>
    <w:p w:rsidR="002D74AD" w:rsidRPr="002D74AD" w:rsidRDefault="002D74AD" w:rsidP="002D74A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lastRenderedPageBreak/>
        <w:t>Nghị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này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Cộng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hòa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xã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chủ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nghĩa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Nam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khóa</w:t>
      </w:r>
      <w:r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pacing w:val="-4"/>
          <w:sz w:val="20"/>
          <w:szCs w:val="20"/>
          <w:lang w:val="nl-NL"/>
        </w:rPr>
        <w:t>XV,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Kỳ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họp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thứ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8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thông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qua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ngày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30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tháng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11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>2024.</w:t>
      </w:r>
    </w:p>
    <w:tbl>
      <w:tblPr>
        <w:tblW w:w="897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285"/>
      </w:tblGrid>
      <w:tr w:rsidR="002D74AD" w:rsidRPr="002D74AD" w:rsidTr="002D74AD">
        <w:trPr>
          <w:trHeight w:val="639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4AD" w:rsidRPr="002D74AD" w:rsidRDefault="002D74AD" w:rsidP="002D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 w:type="textWrapping" w:clear="all"/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 w:type="textWrapping" w:clear="all"/>
            </w:r>
          </w:p>
          <w:p w:rsidR="002D74AD" w:rsidRPr="002D74AD" w:rsidRDefault="002D74AD" w:rsidP="002D74A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2D74AD" w:rsidRPr="002D74AD" w:rsidRDefault="002D74AD" w:rsidP="002D74A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4AD" w:rsidRPr="002D74AD" w:rsidRDefault="002D74AD" w:rsidP="002D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CHỦ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TỊCH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QUỐC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HỘI</w:t>
            </w:r>
          </w:p>
          <w:p w:rsidR="002D74AD" w:rsidRPr="002D74AD" w:rsidRDefault="002D74AD" w:rsidP="002D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</w:p>
          <w:p w:rsidR="002D74AD" w:rsidRPr="002D74AD" w:rsidRDefault="002D74AD" w:rsidP="002D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4AD">
              <w:rPr>
                <w:rFonts w:ascii="Arial" w:eastAsia="Times New Roman" w:hAnsi="Arial" w:cs="Arial"/>
                <w:i/>
                <w:iCs/>
                <w:sz w:val="20"/>
                <w:szCs w:val="20"/>
                <w:lang w:val="nl-NL"/>
              </w:rPr>
              <w:t>(đã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nl-NL"/>
              </w:rPr>
              <w:t xml:space="preserve"> </w:t>
            </w:r>
            <w:r w:rsidRPr="002D74AD">
              <w:rPr>
                <w:rFonts w:ascii="Arial" w:eastAsia="Times New Roman" w:hAnsi="Arial" w:cs="Arial"/>
                <w:i/>
                <w:iCs/>
                <w:sz w:val="20"/>
                <w:szCs w:val="20"/>
                <w:lang w:val="nl-NL"/>
              </w:rPr>
              <w:t>ký)</w:t>
            </w:r>
          </w:p>
          <w:p w:rsidR="002D74AD" w:rsidRPr="002D74AD" w:rsidRDefault="002D74AD" w:rsidP="002D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</w:p>
          <w:p w:rsidR="002D74AD" w:rsidRPr="002D74AD" w:rsidRDefault="002D74AD" w:rsidP="002D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</w:p>
          <w:p w:rsidR="002D74AD" w:rsidRPr="002D74AD" w:rsidRDefault="002D74AD" w:rsidP="002D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Trần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Thanh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2D74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/>
              </w:rPr>
              <w:t>Mẫn</w:t>
            </w:r>
          </w:p>
          <w:p w:rsidR="002D74AD" w:rsidRPr="002D74AD" w:rsidRDefault="002D74AD" w:rsidP="002D74A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2D74AD" w:rsidRPr="002D74AD" w:rsidRDefault="002D74AD" w:rsidP="002D74A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nl-NL"/>
        </w:rPr>
        <w:t xml:space="preserve"> </w:t>
      </w:r>
    </w:p>
    <w:p w:rsidR="002D74AD" w:rsidRPr="002D74AD" w:rsidRDefault="002D74AD" w:rsidP="002D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br w:type="textWrapping" w:clear="all"/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DANH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MỤC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LUẬT,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QUYẾT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THÔNG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CHO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Ý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KIẾN</w:t>
      </w:r>
    </w:p>
    <w:p w:rsidR="002D74AD" w:rsidRPr="002D74AD" w:rsidRDefault="002D74AD" w:rsidP="002D74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TẠI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KỲ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HỌP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THỨ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8,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KHÓA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XV</w:t>
      </w:r>
    </w:p>
    <w:p w:rsidR="002D74AD" w:rsidRPr="002D74AD" w:rsidRDefault="002D74AD" w:rsidP="002D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I.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thông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qua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hóa;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đô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tăng;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đoàn;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chứng;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cháy,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chữa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cháy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nạn,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cứu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hộ;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chống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mua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người;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Địa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chất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sản;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người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chưa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niên;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Dữ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liệu;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Điện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lực;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Dược;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Sĩ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đội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Bảo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tế;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khoán,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độc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lập,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nước,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dụng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nhập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cá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nhân,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trữ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Xử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phạm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18.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hoạch,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theo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đối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tác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Đấu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thầu.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II.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thông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qua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miễn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tịch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Cộng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hòa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nghĩa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2026;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bầu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tịch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Cộng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hòa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xã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nghĩa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Nam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2026;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miễn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Tổng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ký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viên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thôi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làm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biểu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khóa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XV;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bầu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viên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Ủy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ban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Thường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hội,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Tổng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ký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2026;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miễn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vận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2026;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tướng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trưởng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trưởng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Bộ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vận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tải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2021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2026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phê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chuẩn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Chánh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nhiệm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Thẩm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Tòa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dân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tối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cao;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Kế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hoạch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202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5;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toán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2025;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202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5;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11.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Thí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điểm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xử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vật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chứng,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tài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sản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quá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truy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tố,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xét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xử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việc,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vụ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hình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sự;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12.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thí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điểm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ở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thương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mại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thông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thỏa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thuận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nhận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sử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dụng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đất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hoặc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đang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có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sử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dụng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đất;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13.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Cơ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chế,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sách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đặc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thù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để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tháo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gỡ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khó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khăn,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vướng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mắc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đối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với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các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án,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đất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trong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kết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luận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thanh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kiểm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tra,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bản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phố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Hồ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Chí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Minh,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phố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Đà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Nẵng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tỉnh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Khánh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en-GB"/>
        </w:rPr>
        <w:t>Hòa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Tổ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chức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chính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quyền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đô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phố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Hải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Phòng;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15.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lập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thành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phố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Huế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trực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thuộc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trung</w:t>
      </w:r>
      <w:r>
        <w:rPr>
          <w:rFonts w:ascii="Arial" w:eastAsia="Times New Roman" w:hAnsi="Arial" w:cs="Arial"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ương;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Phê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duyệt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phát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văn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hóa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giai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đoạn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2025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2035;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17.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Phê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duyệt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Chương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trình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mục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gia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phòng,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chống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ma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túy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đến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năm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2030;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chủ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trương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Dự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án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sắt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tốc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độ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cao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trên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trục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Bắc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Nam;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19.</w:t>
      </w:r>
      <w:r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Nghị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quyết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Tiếp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tục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nâng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cao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lực,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hiệu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quả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việc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thực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hiện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chính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sách,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pháp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về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quản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lý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thị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trường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bất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động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sản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và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phát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triển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nhà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ở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xã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pacing w:val="-6"/>
          <w:sz w:val="20"/>
          <w:szCs w:val="20"/>
          <w:lang w:val="nl-NL"/>
        </w:rPr>
        <w:t>hội;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họp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XV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21.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họp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khóa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XV.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III.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Các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dự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án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được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Quốc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hội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cho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ý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kiến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lần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 xml:space="preserve"> </w:t>
      </w:r>
      <w:r w:rsidRPr="002D74AD">
        <w:rPr>
          <w:rFonts w:ascii="Arial" w:eastAsia="Times New Roman" w:hAnsi="Arial" w:cs="Arial"/>
          <w:b/>
          <w:bCs/>
          <w:color w:val="000000"/>
          <w:sz w:val="20"/>
          <w:szCs w:val="20"/>
          <w:lang w:val="nl-NL"/>
        </w:rPr>
        <w:t>đầu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nghiệp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công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nghệ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số;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(sửa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đổi)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giáo;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Quản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lý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đầu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tư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vốn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nhà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nước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tại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doanh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nghiệp;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nhập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doanh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nghiệp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(sửa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đổi);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Thuế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thụ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đặc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biệt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(sửa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đổi);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Việc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làm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(sửa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đổi)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sát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Pr="002D74AD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Quảng</w:t>
      </w:r>
      <w:r>
        <w:rPr>
          <w:rFonts w:ascii="Arial" w:eastAsia="Times New Roman" w:hAnsi="Arial" w:cs="Arial"/>
          <w:color w:val="000000"/>
          <w:sz w:val="20"/>
          <w:szCs w:val="20"/>
          <w:lang w:val="de-DE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cáo;</w:t>
      </w:r>
    </w:p>
    <w:p w:rsidR="002D74AD" w:rsidRPr="002D74AD" w:rsidRDefault="002D74AD" w:rsidP="002D74A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4AD">
        <w:rPr>
          <w:rFonts w:ascii="Arial" w:eastAsia="Times New Roman" w:hAnsi="Arial" w:cs="Arial"/>
          <w:color w:val="000000"/>
          <w:sz w:val="20"/>
          <w:szCs w:val="20"/>
          <w:lang w:val="nl-NL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nl-NL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sửa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đổi,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sung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Pr="002D74AD">
        <w:rPr>
          <w:rFonts w:ascii="Arial" w:eastAsia="Times New Roman" w:hAnsi="Arial" w:cs="Arial"/>
          <w:color w:val="000000"/>
          <w:sz w:val="20"/>
          <w:szCs w:val="20"/>
          <w:lang w:val="de-DE"/>
        </w:rPr>
        <w:t>.</w:t>
      </w:r>
    </w:p>
    <w:p w:rsidR="00864BD6" w:rsidRDefault="00864BD6" w:rsidP="002D74AD">
      <w:pPr>
        <w:spacing w:after="120" w:line="240" w:lineRule="auto"/>
        <w:ind w:firstLine="720"/>
        <w:jc w:val="both"/>
      </w:pPr>
    </w:p>
    <w:sectPr w:rsidR="0086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AD"/>
    <w:rsid w:val="002D74AD"/>
    <w:rsid w:val="008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D6409-DD02-45ED-A61B-0DE855ED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cqbanhnh">
    <w:name w:val="tncqbanhnh"/>
    <w:basedOn w:val="Normal"/>
    <w:rsid w:val="002D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hiu">
    <w:name w:val="skhiu"/>
    <w:basedOn w:val="Normal"/>
    <w:rsid w:val="002D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chiu">
    <w:name w:val="quchiu"/>
    <w:basedOn w:val="Normal"/>
    <w:rsid w:val="002D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ung">
    <w:name w:val="tiung"/>
    <w:basedOn w:val="Normal"/>
    <w:rsid w:val="002D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c">
    <w:name w:val="cnc"/>
    <w:basedOn w:val="Normal"/>
    <w:rsid w:val="002D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mquynbh">
    <w:name w:val="thmquynbh"/>
    <w:basedOn w:val="Normal"/>
    <w:rsid w:val="002D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272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9" w:color="FFFFFF"/>
            <w:right w:val="single" w:sz="8" w:space="0" w:color="FFFFFF"/>
          </w:divBdr>
        </w:div>
        <w:div w:id="1402172700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31" w:color="FFFFFF"/>
            <w:right w:val="single" w:sz="8" w:space="0" w:color="FFFFFF"/>
          </w:divBdr>
        </w:div>
        <w:div w:id="1206060437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31" w:color="FFFFFF"/>
            <w:right w:val="single" w:sz="8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2024-12-15T13:23:00Z</dcterms:created>
  <dcterms:modified xsi:type="dcterms:W3CDTF">2024-12-15T13:25:00Z</dcterms:modified>
</cp:coreProperties>
</file>