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5617"/>
      </w:tblGrid>
      <w:tr w:rsidR="00BF208E" w:rsidRPr="00BF208E" w14:paraId="4F88EDF0" w14:textId="77777777" w:rsidTr="00823030">
        <w:trPr>
          <w:trHeight w:val="920"/>
        </w:trPr>
        <w:tc>
          <w:tcPr>
            <w:tcW w:w="3494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19B7" w14:textId="77777777" w:rsidR="00BF208E" w:rsidRPr="00BF208E" w:rsidRDefault="00BF208E" w:rsidP="00BF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t>BỘ TÀI CHÍNH</w:t>
            </w:r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F208E">
              <w:rPr>
                <w:rFonts w:ascii="Arial" w:hAnsi="Arial" w:cs="Arial"/>
                <w:sz w:val="20"/>
                <w:szCs w:val="20"/>
                <w:vertAlign w:val="superscript"/>
              </w:rPr>
              <w:t>________</w:t>
            </w:r>
          </w:p>
          <w:p w14:paraId="79B0DF99" w14:textId="021F6D75" w:rsidR="00BF208E" w:rsidRPr="00BF208E" w:rsidRDefault="00BF208E" w:rsidP="00BF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08E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BF208E">
              <w:rPr>
                <w:rFonts w:ascii="Arial" w:hAnsi="Arial" w:cs="Arial"/>
                <w:sz w:val="20"/>
                <w:szCs w:val="20"/>
              </w:rPr>
              <w:t>: 375/QĐ-BTC</w:t>
            </w:r>
          </w:p>
        </w:tc>
        <w:tc>
          <w:tcPr>
            <w:tcW w:w="5748" w:type="dxa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BB7A" w14:textId="77777777" w:rsidR="00BF208E" w:rsidRPr="00BF208E" w:rsidRDefault="00BF208E" w:rsidP="00BF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t>Độc</w:t>
            </w:r>
            <w:proofErr w:type="spellEnd"/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t>lập</w:t>
            </w:r>
            <w:proofErr w:type="spellEnd"/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t>Tự</w:t>
            </w:r>
            <w:proofErr w:type="spellEnd"/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- </w:t>
            </w:r>
            <w:proofErr w:type="spellStart"/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t>Hạnh</w:t>
            </w:r>
            <w:proofErr w:type="spellEnd"/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t>phúc</w:t>
            </w:r>
            <w:proofErr w:type="spellEnd"/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F208E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_______________________</w:t>
            </w:r>
          </w:p>
          <w:p w14:paraId="117EFBA7" w14:textId="7FDBE300" w:rsidR="00BF208E" w:rsidRPr="00BF208E" w:rsidRDefault="00BF208E" w:rsidP="00BF20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08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Hà </w:t>
            </w:r>
            <w:proofErr w:type="spellStart"/>
            <w:r w:rsidRPr="00BF208E">
              <w:rPr>
                <w:rFonts w:ascii="Arial" w:hAnsi="Arial" w:cs="Arial"/>
                <w:i/>
                <w:iCs/>
                <w:sz w:val="20"/>
                <w:szCs w:val="20"/>
              </w:rPr>
              <w:t>Nội</w:t>
            </w:r>
            <w:proofErr w:type="spellEnd"/>
            <w:r w:rsidRPr="00BF208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F208E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BF208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26 </w:t>
            </w:r>
            <w:proofErr w:type="spellStart"/>
            <w:r w:rsidRPr="00BF208E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BF208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02 </w:t>
            </w:r>
            <w:proofErr w:type="spellStart"/>
            <w:r w:rsidRPr="00BF208E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BF208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2025</w:t>
            </w:r>
          </w:p>
        </w:tc>
      </w:tr>
    </w:tbl>
    <w:p w14:paraId="7C3E6084" w14:textId="396D2B69" w:rsidR="00000000" w:rsidRDefault="00000000" w:rsidP="00BF208E">
      <w:pPr>
        <w:jc w:val="center"/>
        <w:rPr>
          <w:rFonts w:ascii="Arial" w:hAnsi="Arial" w:cs="Arial"/>
          <w:sz w:val="20"/>
          <w:szCs w:val="20"/>
        </w:rPr>
      </w:pPr>
    </w:p>
    <w:p w14:paraId="64115C3C" w14:textId="77777777" w:rsidR="00BF208E" w:rsidRPr="00BF208E" w:rsidRDefault="00BF208E" w:rsidP="00BF208E">
      <w:pPr>
        <w:jc w:val="center"/>
        <w:rPr>
          <w:rFonts w:ascii="Arial" w:hAnsi="Arial" w:cs="Arial"/>
          <w:sz w:val="20"/>
          <w:szCs w:val="20"/>
        </w:rPr>
      </w:pPr>
    </w:p>
    <w:p w14:paraId="0009B246" w14:textId="77777777" w:rsidR="00000000" w:rsidRPr="00BF208E" w:rsidRDefault="00000000" w:rsidP="00BF208E">
      <w:pPr>
        <w:jc w:val="center"/>
        <w:rPr>
          <w:rFonts w:ascii="Arial" w:hAnsi="Arial" w:cs="Arial"/>
          <w:sz w:val="20"/>
          <w:szCs w:val="20"/>
        </w:rPr>
      </w:pPr>
      <w:bookmarkStart w:id="0" w:name="loai_1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QUYẾT ĐỊNH</w:t>
      </w:r>
      <w:bookmarkEnd w:id="0"/>
    </w:p>
    <w:p w14:paraId="701E685E" w14:textId="77777777" w:rsidR="00BF208E" w:rsidRDefault="00BF208E" w:rsidP="00BF208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1" w:name="loai_1_name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Quy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năng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0F08E6E6" w14:textId="08565D0E" w:rsidR="00000000" w:rsidRPr="00BF208E" w:rsidRDefault="00BF208E" w:rsidP="00BF208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hạn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cấu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giá</w:t>
      </w:r>
      <w:bookmarkEnd w:id="1"/>
      <w:proofErr w:type="spellEnd"/>
    </w:p>
    <w:p w14:paraId="3C1D55BE" w14:textId="58454C3B" w:rsidR="00BF208E" w:rsidRPr="00BF208E" w:rsidRDefault="00BF208E" w:rsidP="00BF208E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BF208E">
        <w:rPr>
          <w:rFonts w:ascii="Arial" w:hAnsi="Arial" w:cs="Arial"/>
          <w:color w:val="000000"/>
          <w:sz w:val="20"/>
          <w:szCs w:val="20"/>
          <w:vertAlign w:val="superscript"/>
        </w:rPr>
        <w:t>__________</w:t>
      </w:r>
    </w:p>
    <w:p w14:paraId="638EB343" w14:textId="77777777" w:rsidR="00000000" w:rsidRDefault="00000000" w:rsidP="00BF208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BỘ TRƯỞNG BỘ TÀI CHÍNH</w:t>
      </w:r>
    </w:p>
    <w:p w14:paraId="54CEF318" w14:textId="77777777" w:rsidR="00BF208E" w:rsidRPr="00BF208E" w:rsidRDefault="00BF208E" w:rsidP="00BF208E">
      <w:pPr>
        <w:jc w:val="center"/>
        <w:rPr>
          <w:rFonts w:ascii="Arial" w:hAnsi="Arial" w:cs="Arial"/>
          <w:sz w:val="20"/>
          <w:szCs w:val="20"/>
        </w:rPr>
      </w:pPr>
    </w:p>
    <w:p w14:paraId="747FF130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123/2016/NĐ-CP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01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9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2016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năng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hạn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cấu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ngang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được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sửa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đổi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bổ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sung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tại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101/2020/NĐ-CP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28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8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2020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83/2024/NĐ-CP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10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7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2024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>);</w:t>
      </w:r>
    </w:p>
    <w:p w14:paraId="6B54C2FC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29/2025/NĐ-CP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24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tháng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02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năm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2025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năng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hạn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cấu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>;</w:t>
      </w:r>
    </w:p>
    <w:p w14:paraId="2DC923D3" w14:textId="77777777" w:rsidR="00000000" w:rsidRPr="00BF208E" w:rsidRDefault="00000000" w:rsidP="00BF208E">
      <w:pPr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BF208E">
        <w:rPr>
          <w:rFonts w:ascii="Arial" w:hAnsi="Arial" w:cs="Arial"/>
          <w:i/>
          <w:iCs/>
          <w:sz w:val="20"/>
          <w:szCs w:val="20"/>
        </w:rPr>
        <w:t xml:space="preserve">Theo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đề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cán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i/>
          <w:iCs/>
          <w:sz w:val="20"/>
          <w:szCs w:val="20"/>
        </w:rPr>
        <w:t>.</w:t>
      </w:r>
    </w:p>
    <w:p w14:paraId="37F6CCAB" w14:textId="77777777" w:rsidR="00BF208E" w:rsidRPr="00BF208E" w:rsidRDefault="00BF208E" w:rsidP="00BF208E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8702D3F" w14:textId="77777777" w:rsidR="00000000" w:rsidRDefault="00000000" w:rsidP="00BF208E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QUYẾT ĐỊNH:</w:t>
      </w:r>
    </w:p>
    <w:p w14:paraId="14191A09" w14:textId="77777777" w:rsidR="00BF208E" w:rsidRPr="00BF208E" w:rsidRDefault="00BF208E" w:rsidP="00BF208E">
      <w:pPr>
        <w:jc w:val="center"/>
        <w:rPr>
          <w:rFonts w:ascii="Arial" w:hAnsi="Arial" w:cs="Arial"/>
          <w:sz w:val="20"/>
          <w:szCs w:val="20"/>
        </w:rPr>
      </w:pPr>
    </w:p>
    <w:p w14:paraId="22848A54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" w:name="dieu_1"/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Điều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1.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Vị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trí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năng</w:t>
      </w:r>
      <w:bookmarkEnd w:id="2"/>
      <w:proofErr w:type="spellEnd"/>
    </w:p>
    <w:p w14:paraId="51BB7415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vị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thuộc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giúp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năng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1F6132FB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vị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tư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con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dấu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riêng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được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mở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tài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khoản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tại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Kho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6EED897E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" w:name="dieu_2"/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Điều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2.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hạn</w:t>
      </w:r>
      <w:bookmarkEnd w:id="3"/>
      <w:proofErr w:type="spellEnd"/>
    </w:p>
    <w:p w14:paraId="29C09D76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đế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trinh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ban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hoặc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ban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</w:p>
    <w:p w14:paraId="5D6586EA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a) Các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thảo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văn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phạm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tài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trong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tố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tụng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sự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1AF5B10D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b) Định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hướng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điều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báo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điều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hoặc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đột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xuất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chiến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lược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kế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hoạch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triển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ở Việt Nam.</w:t>
      </w:r>
    </w:p>
    <w:p w14:paraId="5E9604BB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2.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ổn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</w:p>
    <w:p w14:paraId="3C405EF0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a)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để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xem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xét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sở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xuất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ngang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lĩnh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Ủy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ban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tỉnh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:</w:t>
      </w:r>
    </w:p>
    <w:p w14:paraId="0C86F156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Điều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chỉnh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hóa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ổn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2FE5230B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Quyết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trương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thời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ổn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việc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ổn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047E3CAF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b)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:</w:t>
      </w:r>
    </w:p>
    <w:p w14:paraId="79EAB753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- Tham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trong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việc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tham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mưu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ổn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phù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3C87DC5F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vị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thuộc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tham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mưu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tài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để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ổn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431DEDAC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ổn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6E33AC0F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</w:p>
    <w:p w14:paraId="4F5CADB7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a)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để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xem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xét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điều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chỉnh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Danh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hóa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do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sở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nghị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ngang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Ủy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ban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tỉnh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31811F78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lastRenderedPageBreak/>
        <w:t xml:space="preserve">b)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:</w:t>
      </w:r>
    </w:p>
    <w:p w14:paraId="41A11E34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- Quy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phương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chung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hóa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do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xem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xét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hướng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dẫn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khi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dụng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phương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chung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nội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dung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đặc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thù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sở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xuất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lĩnh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Ủy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ban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tỉnh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5D108209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- Định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hóa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thuộc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thuộc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hóa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thuộc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nhiều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lĩnh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ảnh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đến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nằm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trong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hóa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do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thuộc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sở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xuất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được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phương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ngang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hoặc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chuyên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môn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hóa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);</w:t>
      </w:r>
    </w:p>
    <w:p w14:paraId="5D59889B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- Khung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thủy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lợi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khác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thủy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lợi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sử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dụng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vốn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thuộc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phạm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vi,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nghiệp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Môi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trường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4EDA8D61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ích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thủy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lợi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thủy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lợi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sử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dụng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vốn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thuộc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phạm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vi,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đặt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nghiệp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Môi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trường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sự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nghiệp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ích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trong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được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ban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sử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dụng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thuộc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đặt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ở Trung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ương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thuê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chuyên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chuyên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khoang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đến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yếu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tố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tàu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bay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bị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sử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dụng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316EB1BC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mua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thiểu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trữ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quốc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việc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mua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trữ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quốc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sở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hồ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nghị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trữ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quốc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trừ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trường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mua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đấu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thầu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rộng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rãi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chào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cạnh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mua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sắm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tiếp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đấu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trữ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quốc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trữ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quốc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thuộc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lĩnh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quốc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gramStart"/>
      <w:r w:rsidRPr="00BF208E">
        <w:rPr>
          <w:rFonts w:ascii="Arial" w:hAnsi="Arial" w:cs="Arial"/>
          <w:color w:val="000000"/>
          <w:sz w:val="20"/>
          <w:szCs w:val="20"/>
        </w:rPr>
        <w:t>an</w:t>
      </w:r>
      <w:proofErr w:type="gram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ninh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);</w:t>
      </w:r>
    </w:p>
    <w:p w14:paraId="7EA5378F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- Khung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thể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tùy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trong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lĩnh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khoán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Sở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Giao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khoán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Việt Nam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ty con,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Công ty Lưu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Bù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trừ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khoán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Việt Nam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235166FB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4. Tham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mưu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thương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hóa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thuộc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lĩnh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phạm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vi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04E872BE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5. Tham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mưu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quyết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điều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chỉnh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hóa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kê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khai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báo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kê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khai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tiếp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nhận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kê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khai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tại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).</w:t>
      </w:r>
    </w:p>
    <w:p w14:paraId="6486A868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6.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lĩnh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</w:p>
    <w:p w14:paraId="1CF77F44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a)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Xây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ban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Chuẩn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Việt Nam;</w:t>
      </w:r>
    </w:p>
    <w:p w14:paraId="5DDA133E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b)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Xây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đào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tạo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bồi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dưỡng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cập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kiến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chỉ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nghiệp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12210C90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c)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Xây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việc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hồi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thời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thẻ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18EBBE64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d)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Xây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đánh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hoạt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động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doanh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nghiệp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trích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lập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rủi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ro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nghiệp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chế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báo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hoạt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động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doanh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nghiệp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chi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phí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việc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hội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đồng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26F3C025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đ)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lại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hồi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giấy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nhận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điều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kinh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doanh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chỉ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kinh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doanh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báo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701F1FA8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e)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hoạt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động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doanh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nghiệp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trong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lĩnh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hội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nghiệp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việc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đánh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hoạt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động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doanh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nghiệp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750E7686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g)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hoạt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động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tài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thuộc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lĩnh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phạm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vi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46E5F4AE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7.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kiểm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chuyên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</w:p>
    <w:p w14:paraId="7EE896BE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lastRenderedPageBreak/>
        <w:t xml:space="preserve">a)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tự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kiểm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việc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Kiểm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việc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xử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vi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phạm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năng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lĩnh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phạm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vi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3BEBE791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b)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chuyên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giải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quyết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khiếu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nại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tố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xử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vi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phạm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trong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lĩnh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thuộc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phạm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vi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641F78EB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8.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Xây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vận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khai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sở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dữ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liệu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quốc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cung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tin,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dữ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liệu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từ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sở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dữ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liệu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quốc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cầu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266EC802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9.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Được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yêu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cầu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báo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cung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tin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tài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liệu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cần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thiết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thuộc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02FBB924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Ban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văn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ban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văn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hướng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dẫn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giải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thích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chế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hoặc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ủy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0DFA4757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10.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Hội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đồng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chuẩn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quốc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tế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Hội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ASEAN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quốc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tế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khác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đến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lĩnh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ủy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558F7CFE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11.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chế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7CBB0971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12.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quốc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tế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lĩnh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2E6626D8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13.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cứu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khoa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học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hoặc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cứu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khoa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học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vị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trong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ngoài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kế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hoạch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nội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dung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được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phê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duyệt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1FECEA70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14.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tuyên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văn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phạm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5EEA867B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15. Tham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ý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kiến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chế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phương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hóa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phương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vị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6635F493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16. Tham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mưu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trì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Ủy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ban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tỉnh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triển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khai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báo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tích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báo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thị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trường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để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cứu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tham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mưu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giải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điều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giúp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việc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Ban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Chỉ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đạo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điều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tướng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3EF487B7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17.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Hướng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dẫn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tham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ý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kiến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vị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phương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trong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việc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văn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phạm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hoặc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ủy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460748ED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18.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khác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do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208596F3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" w:name="dieu_3"/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Điều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3.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cấu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chức</w:t>
      </w:r>
      <w:bookmarkEnd w:id="4"/>
      <w:proofErr w:type="spellEnd"/>
    </w:p>
    <w:p w14:paraId="3FFC9C81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được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06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gồm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:</w:t>
      </w:r>
    </w:p>
    <w:p w14:paraId="590CCB7E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a) Văn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5AE77750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b)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lâm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thủy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7CD93065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c)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thẩm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332287F5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d)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Công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nghiệp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tiêu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dùng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4EC67FD2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đ)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Tư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liệu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xuất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;</w:t>
      </w:r>
    </w:p>
    <w:p w14:paraId="30226F82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e)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Thanh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Kiểm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341CAE5C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2.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vị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sự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nghiệp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: Trung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tâm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Dữ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liệu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quốc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4B59DAFC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năng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Trung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tâm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Dữ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liệu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quốc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Dịch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5132CE09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4.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Văn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do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25171CF7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lastRenderedPageBreak/>
        <w:t xml:space="preserve">5.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làm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việc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kết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chế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chuyên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việc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chế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chuyên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phù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hợp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danh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tiêu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chuẩn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năng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chuyên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môn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để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đảm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bảo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hoàn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được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02BF0694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6.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được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bố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trí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kế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toán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tại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vị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dự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toán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756BFCE2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7.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chế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do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quyết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4AD14EE2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5" w:name="dieu_4"/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Điều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4.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Lãnh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đạo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Cục</w:t>
      </w:r>
      <w:bookmarkEnd w:id="5"/>
      <w:proofErr w:type="spellEnd"/>
    </w:p>
    <w:p w14:paraId="5ACC0A58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một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số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60B5AE6E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2.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chịu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toàn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hoạt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động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;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tài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tài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sản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được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giao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theo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34F19158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chịu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trước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pháp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luật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về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được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phân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công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</w:t>
      </w:r>
    </w:p>
    <w:p w14:paraId="3261BF93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6" w:name="dieu_5"/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Điều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5. Hiệu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lực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trách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thi</w:t>
      </w:r>
      <w:proofErr w:type="spellEnd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b/>
          <w:bCs/>
          <w:color w:val="000000"/>
          <w:sz w:val="20"/>
          <w:szCs w:val="20"/>
        </w:rPr>
        <w:t>hành</w:t>
      </w:r>
      <w:bookmarkEnd w:id="6"/>
      <w:proofErr w:type="spellEnd"/>
    </w:p>
    <w:p w14:paraId="6AFF45BD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Quyết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này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kể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từ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ngày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01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tháng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03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năm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2025.</w:t>
      </w:r>
    </w:p>
    <w:p w14:paraId="5E234D9B" w14:textId="77777777" w:rsidR="00000000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2.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Quyết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số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2839/QĐ-BTC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ngày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28/11/2024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năng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quyền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và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cấu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của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hết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hiệu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lực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kể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từ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ngày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01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tháng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03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năm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2025.</w:t>
      </w:r>
    </w:p>
    <w:p w14:paraId="0B652D85" w14:textId="77777777" w:rsidR="00000000" w:rsidRPr="00BF208E" w:rsidRDefault="00000000" w:rsidP="0006644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Cục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Quản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lý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giá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Vụ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Chánh Văn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Tài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Thủ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đơn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vị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tổ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chức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có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liên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quan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chịu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trách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nhiệm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thi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hành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Quyết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định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F208E">
        <w:rPr>
          <w:rFonts w:ascii="Arial" w:hAnsi="Arial" w:cs="Arial"/>
          <w:color w:val="000000"/>
          <w:sz w:val="20"/>
          <w:szCs w:val="20"/>
        </w:rPr>
        <w:t>này</w:t>
      </w:r>
      <w:proofErr w:type="spellEnd"/>
      <w:r w:rsidRPr="00BF208E">
        <w:rPr>
          <w:rFonts w:ascii="Arial" w:hAnsi="Arial" w:cs="Arial"/>
          <w:color w:val="000000"/>
          <w:sz w:val="20"/>
          <w:szCs w:val="20"/>
        </w:rPr>
        <w:t>./.</w:t>
      </w:r>
    </w:p>
    <w:p w14:paraId="4390049C" w14:textId="77777777" w:rsidR="00000000" w:rsidRPr="00BF208E" w:rsidRDefault="00000000" w:rsidP="0006644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000000" w:rsidRPr="00BF208E" w14:paraId="0D49C421" w14:textId="77777777" w:rsidTr="00066449">
        <w:trPr>
          <w:trHeight w:val="2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D9E7B" w14:textId="7A9553B0" w:rsidR="00000000" w:rsidRPr="00BF208E" w:rsidRDefault="00000000" w:rsidP="0006644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F208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</w:t>
            </w:r>
            <w:proofErr w:type="spellEnd"/>
            <w:r w:rsidRPr="00BF208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F208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  <w:r w:rsidRPr="00BF208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 w:rsidRPr="00BF208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BF208E">
              <w:rPr>
                <w:rFonts w:ascii="Arial" w:hAnsi="Arial" w:cs="Arial"/>
                <w:sz w:val="20"/>
                <w:szCs w:val="20"/>
              </w:rPr>
              <w:t xml:space="preserve">- Như </w:t>
            </w:r>
            <w:proofErr w:type="spellStart"/>
            <w:r w:rsidRPr="00BF208E">
              <w:rPr>
                <w:rFonts w:ascii="Arial" w:hAnsi="Arial" w:cs="Arial"/>
                <w:sz w:val="20"/>
                <w:szCs w:val="20"/>
              </w:rPr>
              <w:t>Điều</w:t>
            </w:r>
            <w:proofErr w:type="spellEnd"/>
            <w:r w:rsidRPr="00BF208E">
              <w:rPr>
                <w:rFonts w:ascii="Arial" w:hAnsi="Arial" w:cs="Arial"/>
                <w:sz w:val="20"/>
                <w:szCs w:val="20"/>
              </w:rPr>
              <w:t xml:space="preserve"> 5;</w:t>
            </w:r>
            <w:r w:rsidRPr="00BF208E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BF208E">
              <w:rPr>
                <w:rFonts w:ascii="Arial" w:hAnsi="Arial" w:cs="Arial"/>
                <w:sz w:val="20"/>
                <w:szCs w:val="20"/>
              </w:rPr>
              <w:t>Lãnh</w:t>
            </w:r>
            <w:proofErr w:type="spellEnd"/>
            <w:r w:rsidRPr="00BF20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08E">
              <w:rPr>
                <w:rFonts w:ascii="Arial" w:hAnsi="Arial" w:cs="Arial"/>
                <w:sz w:val="20"/>
                <w:szCs w:val="20"/>
              </w:rPr>
              <w:t>đạo</w:t>
            </w:r>
            <w:proofErr w:type="spellEnd"/>
            <w:r w:rsidRPr="00BF20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08E">
              <w:rPr>
                <w:rFonts w:ascii="Arial" w:hAnsi="Arial" w:cs="Arial"/>
                <w:sz w:val="20"/>
                <w:szCs w:val="20"/>
              </w:rPr>
              <w:t>Bộ</w:t>
            </w:r>
            <w:proofErr w:type="spellEnd"/>
            <w:r w:rsidRPr="00BF208E">
              <w:rPr>
                <w:rFonts w:ascii="Arial" w:hAnsi="Arial" w:cs="Arial"/>
                <w:sz w:val="20"/>
                <w:szCs w:val="20"/>
              </w:rPr>
              <w:t>;</w:t>
            </w:r>
            <w:r w:rsidRPr="00BF208E">
              <w:rPr>
                <w:rFonts w:ascii="Arial" w:hAnsi="Arial" w:cs="Arial"/>
                <w:sz w:val="20"/>
                <w:szCs w:val="20"/>
              </w:rPr>
              <w:br/>
              <w:t xml:space="preserve">- VP </w:t>
            </w:r>
            <w:proofErr w:type="spellStart"/>
            <w:r w:rsidRPr="00BF208E">
              <w:rPr>
                <w:rFonts w:ascii="Arial" w:hAnsi="Arial" w:cs="Arial"/>
                <w:sz w:val="20"/>
                <w:szCs w:val="20"/>
              </w:rPr>
              <w:t>Đảng</w:t>
            </w:r>
            <w:proofErr w:type="spellEnd"/>
            <w:r w:rsidRPr="00BF20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F208E">
              <w:rPr>
                <w:rFonts w:ascii="Arial" w:hAnsi="Arial" w:cs="Arial"/>
                <w:sz w:val="20"/>
                <w:szCs w:val="20"/>
              </w:rPr>
              <w:t>ủy</w:t>
            </w:r>
            <w:proofErr w:type="spellEnd"/>
            <w:r w:rsidRPr="00BF208E">
              <w:rPr>
                <w:rFonts w:ascii="Arial" w:hAnsi="Arial" w:cs="Arial"/>
                <w:sz w:val="20"/>
                <w:szCs w:val="20"/>
              </w:rPr>
              <w:t xml:space="preserve">, Công </w:t>
            </w:r>
            <w:proofErr w:type="spellStart"/>
            <w:r w:rsidRPr="00BF208E">
              <w:rPr>
                <w:rFonts w:ascii="Arial" w:hAnsi="Arial" w:cs="Arial"/>
                <w:sz w:val="20"/>
                <w:szCs w:val="20"/>
              </w:rPr>
              <w:t>đoàn</w:t>
            </w:r>
            <w:proofErr w:type="spellEnd"/>
            <w:r w:rsidRPr="00BF208E">
              <w:rPr>
                <w:rFonts w:ascii="Arial" w:hAnsi="Arial" w:cs="Arial"/>
                <w:sz w:val="20"/>
                <w:szCs w:val="20"/>
              </w:rPr>
              <w:t>;</w:t>
            </w:r>
            <w:r w:rsidRPr="00BF208E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BF208E">
              <w:rPr>
                <w:rFonts w:ascii="Arial" w:hAnsi="Arial" w:cs="Arial"/>
                <w:sz w:val="20"/>
                <w:szCs w:val="20"/>
              </w:rPr>
              <w:t>Cổng</w:t>
            </w:r>
            <w:proofErr w:type="spellEnd"/>
            <w:r w:rsidRPr="00BF208E">
              <w:rPr>
                <w:rFonts w:ascii="Arial" w:hAnsi="Arial" w:cs="Arial"/>
                <w:sz w:val="20"/>
                <w:szCs w:val="20"/>
              </w:rPr>
              <w:t xml:space="preserve"> TTĐT </w:t>
            </w:r>
            <w:proofErr w:type="spellStart"/>
            <w:r w:rsidRPr="00BF208E">
              <w:rPr>
                <w:rFonts w:ascii="Arial" w:hAnsi="Arial" w:cs="Arial"/>
                <w:sz w:val="20"/>
                <w:szCs w:val="20"/>
              </w:rPr>
              <w:t>Bộ</w:t>
            </w:r>
            <w:proofErr w:type="spellEnd"/>
            <w:r w:rsidRPr="00BF208E">
              <w:rPr>
                <w:rFonts w:ascii="Arial" w:hAnsi="Arial" w:cs="Arial"/>
                <w:sz w:val="20"/>
                <w:szCs w:val="20"/>
              </w:rPr>
              <w:t xml:space="preserve"> TC;</w:t>
            </w:r>
            <w:r w:rsidRPr="00BF208E">
              <w:rPr>
                <w:rFonts w:ascii="Arial" w:hAnsi="Arial" w:cs="Arial"/>
                <w:sz w:val="20"/>
                <w:szCs w:val="20"/>
              </w:rPr>
              <w:br/>
              <w:t xml:space="preserve">- Lưu: VT, </w:t>
            </w:r>
            <w:proofErr w:type="spellStart"/>
            <w:r w:rsidRPr="00BF208E">
              <w:rPr>
                <w:rFonts w:ascii="Arial" w:hAnsi="Arial" w:cs="Arial"/>
                <w:sz w:val="20"/>
                <w:szCs w:val="20"/>
              </w:rPr>
              <w:t>Vụ</w:t>
            </w:r>
            <w:proofErr w:type="spellEnd"/>
            <w:r w:rsidRPr="00BF208E">
              <w:rPr>
                <w:rFonts w:ascii="Arial" w:hAnsi="Arial" w:cs="Arial"/>
                <w:sz w:val="20"/>
                <w:szCs w:val="20"/>
              </w:rPr>
              <w:t xml:space="preserve"> TCCB (10b).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84F0" w14:textId="77777777" w:rsidR="00000000" w:rsidRPr="00BF208E" w:rsidRDefault="00000000" w:rsidP="000664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t>BỘ TRƯỞNG</w:t>
            </w:r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F208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Nguyễn Văn Thắng</w:t>
            </w:r>
          </w:p>
        </w:tc>
      </w:tr>
    </w:tbl>
    <w:p w14:paraId="61F5F0C4" w14:textId="77777777" w:rsidR="007013E1" w:rsidRPr="00BF208E" w:rsidRDefault="00000000" w:rsidP="00BF208E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F208E">
        <w:rPr>
          <w:rFonts w:ascii="Arial" w:hAnsi="Arial" w:cs="Arial"/>
          <w:sz w:val="20"/>
          <w:szCs w:val="20"/>
        </w:rPr>
        <w:t> </w:t>
      </w:r>
    </w:p>
    <w:sectPr w:rsidR="007013E1" w:rsidRPr="00BF208E" w:rsidSect="00BF208E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8F16" w14:textId="77777777" w:rsidR="007013E1" w:rsidRDefault="007013E1" w:rsidP="00BF208E">
      <w:r>
        <w:separator/>
      </w:r>
    </w:p>
  </w:endnote>
  <w:endnote w:type="continuationSeparator" w:id="0">
    <w:p w14:paraId="073B4C98" w14:textId="77777777" w:rsidR="007013E1" w:rsidRDefault="007013E1" w:rsidP="00BF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9D76" w14:textId="77777777" w:rsidR="007013E1" w:rsidRDefault="007013E1" w:rsidP="00BF208E">
      <w:r>
        <w:separator/>
      </w:r>
    </w:p>
  </w:footnote>
  <w:footnote w:type="continuationSeparator" w:id="0">
    <w:p w14:paraId="089DE80E" w14:textId="77777777" w:rsidR="007013E1" w:rsidRDefault="007013E1" w:rsidP="00BF2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7B"/>
    <w:rsid w:val="00066449"/>
    <w:rsid w:val="000B407B"/>
    <w:rsid w:val="0035607B"/>
    <w:rsid w:val="00441CE0"/>
    <w:rsid w:val="0053337D"/>
    <w:rsid w:val="006B52FB"/>
    <w:rsid w:val="007013E1"/>
    <w:rsid w:val="008422E6"/>
    <w:rsid w:val="00BF208E"/>
    <w:rsid w:val="00F9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A9E1FD"/>
  <w15:chartTrackingRefBased/>
  <w15:docId w15:val="{CEFF7CE5-5BC1-4634-8517-5BC0FF65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08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2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cp:lastPrinted>1601-01-01T00:00:00Z</cp:lastPrinted>
  <dcterms:created xsi:type="dcterms:W3CDTF">2025-03-12T08:49:00Z</dcterms:created>
  <dcterms:modified xsi:type="dcterms:W3CDTF">2025-03-12T08:49:00Z</dcterms:modified>
</cp:coreProperties>
</file>