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9266D5" w:rsidRPr="009266D5" w14:paraId="47A254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142707" w14:textId="67CF6029" w:rsidR="00324501" w:rsidRPr="009266D5" w:rsidRDefault="00C77F24" w:rsidP="009266D5">
            <w:pPr>
              <w:adjustRightInd w:val="0"/>
              <w:snapToGrid w:val="0"/>
              <w:jc w:val="center"/>
              <w:rPr>
                <w:rFonts w:asciiTheme="minorHAnsi" w:hAnsiTheme="minorHAnsi" w:cstheme="minorHAnsi"/>
                <w:color w:val="000000" w:themeColor="text1"/>
                <w:sz w:val="20"/>
                <w:szCs w:val="20"/>
                <w:lang w:val="en-GB"/>
              </w:rPr>
            </w:pPr>
            <w:r w:rsidRPr="009266D5">
              <w:rPr>
                <w:rFonts w:asciiTheme="minorHAnsi" w:hAnsiTheme="minorHAnsi" w:cstheme="minorHAnsi"/>
                <w:color w:val="000000" w:themeColor="text1"/>
                <w:sz w:val="20"/>
                <w:szCs w:val="20"/>
              </w:rPr>
              <w:t>BỘ TÀI CHÍNH</w:t>
            </w:r>
            <w:r w:rsidRPr="009266D5">
              <w:rPr>
                <w:rFonts w:asciiTheme="minorHAnsi" w:hAnsiTheme="minorHAnsi" w:cstheme="minorHAnsi"/>
                <w:color w:val="000000" w:themeColor="text1"/>
                <w:sz w:val="20"/>
                <w:szCs w:val="20"/>
              </w:rPr>
              <w:br/>
            </w:r>
            <w:r w:rsidRPr="009266D5">
              <w:rPr>
                <w:rFonts w:asciiTheme="minorHAnsi" w:hAnsiTheme="minorHAnsi" w:cstheme="minorHAnsi"/>
                <w:b/>
                <w:bCs/>
                <w:color w:val="000000" w:themeColor="text1"/>
                <w:sz w:val="20"/>
                <w:szCs w:val="20"/>
              </w:rPr>
              <w:t>TỔNG CỤC THUẾ</w:t>
            </w:r>
            <w:r w:rsidRPr="009266D5">
              <w:rPr>
                <w:rFonts w:asciiTheme="minorHAnsi" w:hAnsiTheme="minorHAnsi" w:cstheme="minorHAnsi"/>
                <w:b/>
                <w:bCs/>
                <w:color w:val="000000" w:themeColor="text1"/>
                <w:sz w:val="20"/>
                <w:szCs w:val="20"/>
              </w:rPr>
              <w:br/>
            </w:r>
            <w:r w:rsidR="009266D5" w:rsidRPr="009266D5">
              <w:rPr>
                <w:rFonts w:asciiTheme="minorHAnsi" w:hAnsiTheme="minorHAnsi" w:cstheme="minorHAnsi"/>
                <w:color w:val="000000" w:themeColor="text1"/>
                <w:sz w:val="20"/>
                <w:szCs w:val="20"/>
                <w:vertAlign w:val="superscript"/>
                <w:lang w:val="en-GB"/>
              </w:rPr>
              <w:t>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29FB81" w14:textId="45A86923" w:rsidR="00324501" w:rsidRPr="009266D5" w:rsidRDefault="00C77F24" w:rsidP="009266D5">
            <w:pPr>
              <w:adjustRightInd w:val="0"/>
              <w:snapToGrid w:val="0"/>
              <w:jc w:val="center"/>
              <w:rPr>
                <w:rFonts w:asciiTheme="minorHAnsi" w:hAnsiTheme="minorHAnsi" w:cstheme="minorHAnsi"/>
                <w:color w:val="000000" w:themeColor="text1"/>
                <w:sz w:val="20"/>
                <w:szCs w:val="20"/>
                <w:lang w:val="en-GB"/>
              </w:rPr>
            </w:pPr>
            <w:r w:rsidRPr="009266D5">
              <w:rPr>
                <w:rFonts w:asciiTheme="minorHAnsi" w:hAnsiTheme="minorHAnsi" w:cstheme="minorHAnsi"/>
                <w:b/>
                <w:bCs/>
                <w:color w:val="000000" w:themeColor="text1"/>
                <w:sz w:val="20"/>
                <w:szCs w:val="20"/>
              </w:rPr>
              <w:t>CỘNG HÒA XÃ HỘI CHỦ NGHĨA VIỆT NAM</w:t>
            </w:r>
            <w:r w:rsidRPr="009266D5">
              <w:rPr>
                <w:rFonts w:asciiTheme="minorHAnsi" w:hAnsiTheme="minorHAnsi" w:cstheme="minorHAnsi"/>
                <w:b/>
                <w:bCs/>
                <w:color w:val="000000" w:themeColor="text1"/>
                <w:sz w:val="20"/>
                <w:szCs w:val="20"/>
              </w:rPr>
              <w:br/>
              <w:t xml:space="preserve">Độc lập - Tự do - Hạnh phúc </w:t>
            </w:r>
            <w:r w:rsidRPr="009266D5">
              <w:rPr>
                <w:rFonts w:asciiTheme="minorHAnsi" w:hAnsiTheme="minorHAnsi" w:cstheme="minorHAnsi"/>
                <w:b/>
                <w:bCs/>
                <w:color w:val="000000" w:themeColor="text1"/>
                <w:sz w:val="20"/>
                <w:szCs w:val="20"/>
              </w:rPr>
              <w:br/>
            </w:r>
            <w:r w:rsidR="009266D5" w:rsidRPr="009266D5">
              <w:rPr>
                <w:rFonts w:asciiTheme="minorHAnsi" w:hAnsiTheme="minorHAnsi" w:cstheme="minorHAnsi"/>
                <w:color w:val="000000" w:themeColor="text1"/>
                <w:sz w:val="20"/>
                <w:szCs w:val="20"/>
                <w:vertAlign w:val="superscript"/>
                <w:lang w:val="en-GB"/>
              </w:rPr>
              <w:t>________________________</w:t>
            </w:r>
          </w:p>
        </w:tc>
      </w:tr>
      <w:tr w:rsidR="009266D5" w:rsidRPr="009266D5" w14:paraId="177545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7EC4BF" w14:textId="77777777" w:rsidR="00324501" w:rsidRPr="009266D5" w:rsidRDefault="00C77F24" w:rsidP="009266D5">
            <w:pPr>
              <w:adjustRightInd w:val="0"/>
              <w:snapToGrid w:val="0"/>
              <w:jc w:val="center"/>
              <w:rPr>
                <w:rFonts w:asciiTheme="minorHAnsi" w:hAnsiTheme="minorHAnsi" w:cstheme="minorHAnsi"/>
                <w:color w:val="000000" w:themeColor="text1"/>
                <w:sz w:val="20"/>
                <w:szCs w:val="20"/>
              </w:rPr>
            </w:pPr>
            <w:bookmarkStart w:id="0" w:name="loai_1"/>
            <w:r w:rsidRPr="009266D5">
              <w:rPr>
                <w:rFonts w:asciiTheme="minorHAnsi" w:hAnsiTheme="minorHAnsi" w:cstheme="minorHAnsi"/>
                <w:color w:val="000000" w:themeColor="text1"/>
                <w:sz w:val="20"/>
                <w:szCs w:val="20"/>
              </w:rPr>
              <w:t>Số: 5255/TCT-TTKT</w:t>
            </w:r>
            <w:bookmarkEnd w:id="0"/>
            <w:r w:rsidRPr="009266D5">
              <w:rPr>
                <w:rFonts w:asciiTheme="minorHAnsi" w:hAnsiTheme="minorHAnsi" w:cstheme="minorHAnsi"/>
                <w:color w:val="000000" w:themeColor="text1"/>
                <w:sz w:val="20"/>
                <w:szCs w:val="20"/>
              </w:rPr>
              <w:br/>
            </w:r>
            <w:bookmarkStart w:id="1" w:name="loai_1_name"/>
            <w:r w:rsidRPr="009266D5">
              <w:rPr>
                <w:rFonts w:asciiTheme="minorHAnsi" w:hAnsiTheme="minorHAnsi" w:cstheme="minorHAnsi"/>
                <w:color w:val="000000" w:themeColor="text1"/>
                <w:sz w:val="20"/>
                <w:szCs w:val="20"/>
              </w:rPr>
              <w:t>V/v tăng cường ngăn chặn, phòng, chống gian lận hóa đơn điện tử</w:t>
            </w:r>
            <w:bookmarkEnd w:id="1"/>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4EA74E" w14:textId="2B7138D0" w:rsidR="00324501" w:rsidRPr="009266D5" w:rsidRDefault="00C77F24" w:rsidP="009266D5">
            <w:pPr>
              <w:adjustRightInd w:val="0"/>
              <w:snapToGrid w:val="0"/>
              <w:jc w:val="center"/>
              <w:rPr>
                <w:rFonts w:asciiTheme="minorHAnsi" w:hAnsiTheme="minorHAnsi" w:cstheme="minorHAnsi"/>
                <w:color w:val="000000" w:themeColor="text1"/>
                <w:sz w:val="20"/>
                <w:szCs w:val="20"/>
              </w:rPr>
            </w:pPr>
            <w:r w:rsidRPr="009266D5">
              <w:rPr>
                <w:rFonts w:asciiTheme="minorHAnsi" w:hAnsiTheme="minorHAnsi" w:cstheme="minorHAnsi"/>
                <w:i/>
                <w:iCs/>
                <w:color w:val="000000" w:themeColor="text1"/>
                <w:sz w:val="20"/>
                <w:szCs w:val="20"/>
              </w:rPr>
              <w:t>Hà Nội, ngày 15 tháng 11 năm 2024</w:t>
            </w:r>
          </w:p>
        </w:tc>
      </w:tr>
    </w:tbl>
    <w:p w14:paraId="0909B40E" w14:textId="77777777" w:rsidR="00324501" w:rsidRPr="009266D5" w:rsidRDefault="00C77F24" w:rsidP="009266D5">
      <w:pPr>
        <w:adjustRightInd w:val="0"/>
        <w:snapToGrid w:val="0"/>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w:t>
      </w:r>
    </w:p>
    <w:p w14:paraId="23958315" w14:textId="77777777" w:rsidR="009266D5" w:rsidRDefault="009266D5" w:rsidP="009266D5">
      <w:pPr>
        <w:adjustRightInd w:val="0"/>
        <w:snapToGrid w:val="0"/>
        <w:jc w:val="center"/>
        <w:rPr>
          <w:rFonts w:asciiTheme="minorHAnsi" w:hAnsiTheme="minorHAnsi" w:cstheme="minorHAnsi"/>
          <w:b/>
          <w:bCs/>
          <w:color w:val="000000" w:themeColor="text1"/>
          <w:sz w:val="20"/>
          <w:szCs w:val="20"/>
          <w:lang w:val="en-GB"/>
        </w:rPr>
      </w:pPr>
    </w:p>
    <w:p w14:paraId="544D2DB7" w14:textId="4BAC1459" w:rsidR="00324501" w:rsidRDefault="00C77F24" w:rsidP="009266D5">
      <w:pPr>
        <w:adjustRightInd w:val="0"/>
        <w:snapToGrid w:val="0"/>
        <w:jc w:val="center"/>
        <w:rPr>
          <w:rFonts w:asciiTheme="minorHAnsi" w:hAnsiTheme="minorHAnsi" w:cstheme="minorHAnsi"/>
          <w:color w:val="000000" w:themeColor="text1"/>
          <w:sz w:val="20"/>
          <w:szCs w:val="20"/>
          <w:lang w:val="en-GB"/>
        </w:rPr>
      </w:pPr>
      <w:r w:rsidRPr="009266D5">
        <w:rPr>
          <w:rFonts w:asciiTheme="minorHAnsi" w:hAnsiTheme="minorHAnsi" w:cstheme="minorHAnsi"/>
          <w:color w:val="000000" w:themeColor="text1"/>
          <w:sz w:val="20"/>
          <w:szCs w:val="20"/>
        </w:rPr>
        <w:t xml:space="preserve">Kính gửi: </w:t>
      </w:r>
      <w:r w:rsidRPr="009266D5">
        <w:rPr>
          <w:rFonts w:asciiTheme="minorHAnsi" w:hAnsiTheme="minorHAnsi" w:cstheme="minorHAnsi"/>
          <w:color w:val="000000" w:themeColor="text1"/>
          <w:sz w:val="20"/>
          <w:szCs w:val="20"/>
        </w:rPr>
        <w:t>Cục Thuế các tỉnh, thành phố trực thuộc Trung ương.</w:t>
      </w:r>
    </w:p>
    <w:p w14:paraId="5E818FA9" w14:textId="77777777" w:rsidR="009266D5" w:rsidRPr="009266D5" w:rsidRDefault="009266D5" w:rsidP="009266D5">
      <w:pPr>
        <w:adjustRightInd w:val="0"/>
        <w:snapToGrid w:val="0"/>
        <w:jc w:val="center"/>
        <w:rPr>
          <w:rFonts w:asciiTheme="minorHAnsi" w:hAnsiTheme="minorHAnsi" w:cstheme="minorHAnsi"/>
          <w:color w:val="000000" w:themeColor="text1"/>
          <w:sz w:val="20"/>
          <w:szCs w:val="20"/>
          <w:lang w:val="en-GB"/>
        </w:rPr>
      </w:pPr>
    </w:p>
    <w:p w14:paraId="2FDF9AE6"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Tiếp tục tăng cường các giải pháp về công nghệ thông tin để phát hiện, kịp thời ngăn chặn những trường hợp gian lận mua, bán hóa đơn không hợp pháp hoặc sử dụng không hợp pháp hóa đơn để hợp thức hóa chi</w:t>
      </w:r>
      <w:r w:rsidRPr="009266D5">
        <w:rPr>
          <w:rFonts w:asciiTheme="minorHAnsi" w:hAnsiTheme="minorHAnsi" w:cstheme="minorHAnsi"/>
          <w:color w:val="000000" w:themeColor="text1"/>
          <w:sz w:val="20"/>
          <w:szCs w:val="20"/>
        </w:rPr>
        <w:t xml:space="preserve"> phí đầu vào, trốn thuế và trục lợi tiền hoàn thuế giá trị gia tăng (GTGT) từ ngân sách nhà nước (NSNN). Tổng cục Thuế đề nghị các Cục Thuế thực hiện các nội dung sau:</w:t>
      </w:r>
    </w:p>
    <w:p w14:paraId="30464618"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bookmarkStart w:id="2" w:name="dieu_1"/>
      <w:r w:rsidRPr="009266D5">
        <w:rPr>
          <w:rFonts w:asciiTheme="minorHAnsi" w:hAnsiTheme="minorHAnsi" w:cstheme="minorHAnsi"/>
          <w:color w:val="000000" w:themeColor="text1"/>
          <w:sz w:val="20"/>
          <w:szCs w:val="20"/>
        </w:rPr>
        <w:t>1. Thực hiện nghiêm các nhiệm vụ giải pháp và các nội dung chỉ đạo của Tổng cục Thuế tại</w:t>
      </w:r>
      <w:r w:rsidRPr="009266D5">
        <w:rPr>
          <w:rFonts w:asciiTheme="minorHAnsi" w:hAnsiTheme="minorHAnsi" w:cstheme="minorHAnsi"/>
          <w:color w:val="000000" w:themeColor="text1"/>
          <w:sz w:val="20"/>
          <w:szCs w:val="20"/>
        </w:rPr>
        <w:t xml:space="preserve"> Chỉ thị số 01/CT-TCT ngày 11/4/2023 về việc tăng cường các biện pháp rà soát, kiểm tra hóa đơn nhằm ngăn chặn gian lận trong việc sử dụng hóa đơn; Công văn số 2812/TCT-TTKT ngày 07/7/2023 về việc triển khai các biện pháp phòng chống tình trạng buôn bán hó</w:t>
      </w:r>
      <w:r w:rsidRPr="009266D5">
        <w:rPr>
          <w:rFonts w:asciiTheme="minorHAnsi" w:hAnsiTheme="minorHAnsi" w:cstheme="minorHAnsi"/>
          <w:color w:val="000000" w:themeColor="text1"/>
          <w:sz w:val="20"/>
          <w:szCs w:val="20"/>
        </w:rPr>
        <w:t>a đơn trên không gian mạng; Công văn số 3638/TCT-VP ngày 18/8/2023 của Tổng cục Thuế về việc tăng cường công tác quản lý hóa đơn điện tử.</w:t>
      </w:r>
      <w:bookmarkEnd w:id="2"/>
    </w:p>
    <w:p w14:paraId="12FBC6B6"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bookmarkStart w:id="3" w:name="dieu_2"/>
      <w:r w:rsidRPr="009266D5">
        <w:rPr>
          <w:rFonts w:asciiTheme="minorHAnsi" w:hAnsiTheme="minorHAnsi" w:cstheme="minorHAnsi"/>
          <w:color w:val="000000" w:themeColor="text1"/>
          <w:sz w:val="20"/>
          <w:szCs w:val="20"/>
        </w:rPr>
        <w:t>2. Cục trưởng Cục Thuế quán triệt nhiệm vụ và tổ chức giao nhiệm vụ cụ thể đến từng công chức, đội, phòng, Chi cục Thu</w:t>
      </w:r>
      <w:r w:rsidRPr="009266D5">
        <w:rPr>
          <w:rFonts w:asciiTheme="minorHAnsi" w:hAnsiTheme="minorHAnsi" w:cstheme="minorHAnsi"/>
          <w:color w:val="000000" w:themeColor="text1"/>
          <w:sz w:val="20"/>
          <w:szCs w:val="20"/>
        </w:rPr>
        <w:t xml:space="preserve">ế để thực hiện rà soát, đối chiếu theo danh sách các doanh nghiệp có những nội dung phát sinh về hóa đơn, về kê khai thuế có nghi vấn rủi ro được các ứng dụng công nghệ thông tin của ngành, của cơ quan Thuế địa phương tự xây dựng hỗ trợ kết xuất các doanh </w:t>
      </w:r>
      <w:r w:rsidRPr="009266D5">
        <w:rPr>
          <w:rFonts w:asciiTheme="minorHAnsi" w:hAnsiTheme="minorHAnsi" w:cstheme="minorHAnsi"/>
          <w:color w:val="000000" w:themeColor="text1"/>
          <w:sz w:val="20"/>
          <w:szCs w:val="20"/>
        </w:rPr>
        <w:t>nghiệp có rủi ro. Trong quá trình rà soát, đối chiếu dữ liệu NNT cần lưu ý xem xét một số nội dung sau:</w:t>
      </w:r>
      <w:bookmarkEnd w:id="3"/>
    </w:p>
    <w:p w14:paraId="6002EC3D"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xml:space="preserve">- Ghi nội dung hóa đơn không đúng theo quy định tại </w:t>
      </w:r>
      <w:bookmarkStart w:id="4" w:name="dc_1"/>
      <w:r w:rsidRPr="009266D5">
        <w:rPr>
          <w:rFonts w:asciiTheme="minorHAnsi" w:hAnsiTheme="minorHAnsi" w:cstheme="minorHAnsi"/>
          <w:color w:val="000000" w:themeColor="text1"/>
          <w:sz w:val="20"/>
          <w:szCs w:val="20"/>
        </w:rPr>
        <w:t>khoản 7 Điều 3 và Điều 10 Nghị định số 123/2020/NĐ-CP</w:t>
      </w:r>
      <w:bookmarkEnd w:id="4"/>
      <w:r w:rsidRPr="009266D5">
        <w:rPr>
          <w:rFonts w:asciiTheme="minorHAnsi" w:hAnsiTheme="minorHAnsi" w:cstheme="minorHAnsi"/>
          <w:color w:val="000000" w:themeColor="text1"/>
          <w:sz w:val="20"/>
          <w:szCs w:val="20"/>
        </w:rPr>
        <w:t xml:space="preserve"> ngày 19/10/2020 của Chính Phủ quy định về hóa </w:t>
      </w:r>
      <w:r w:rsidRPr="009266D5">
        <w:rPr>
          <w:rFonts w:asciiTheme="minorHAnsi" w:hAnsiTheme="minorHAnsi" w:cstheme="minorHAnsi"/>
          <w:color w:val="000000" w:themeColor="text1"/>
          <w:sz w:val="20"/>
          <w:szCs w:val="20"/>
        </w:rPr>
        <w:t>đơn, chứng từ.</w:t>
      </w:r>
    </w:p>
    <w:p w14:paraId="6B2DBBDF"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Có tờ khai thuế GTGT điều chỉnh, bổ sung nhiều lần.</w:t>
      </w:r>
    </w:p>
    <w:p w14:paraId="548D4070"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Rà soát, đối chiếu tính khớp đúng, tính hợp lệ của Hồ sơ khai bổ sung hồ sơ khai thuế giữa: Tờ khai bổ sung và Bản giải trình khai bổ sung và các tài liệu có liên quan theo quy định tại</w:t>
      </w:r>
      <w:r w:rsidRPr="009266D5">
        <w:rPr>
          <w:rFonts w:asciiTheme="minorHAnsi" w:hAnsiTheme="minorHAnsi" w:cstheme="minorHAnsi"/>
          <w:color w:val="000000" w:themeColor="text1"/>
          <w:sz w:val="20"/>
          <w:szCs w:val="20"/>
        </w:rPr>
        <w:t xml:space="preserve"> </w:t>
      </w:r>
      <w:bookmarkStart w:id="5" w:name="dc_2"/>
      <w:r w:rsidRPr="009266D5">
        <w:rPr>
          <w:rFonts w:asciiTheme="minorHAnsi" w:hAnsiTheme="minorHAnsi" w:cstheme="minorHAnsi"/>
          <w:color w:val="000000" w:themeColor="text1"/>
          <w:sz w:val="20"/>
          <w:szCs w:val="20"/>
        </w:rPr>
        <w:t>Điều 47 Luật Quản lý thuế</w:t>
      </w:r>
      <w:bookmarkEnd w:id="5"/>
      <w:r w:rsidRPr="009266D5">
        <w:rPr>
          <w:rFonts w:asciiTheme="minorHAnsi" w:hAnsiTheme="minorHAnsi" w:cstheme="minorHAnsi"/>
          <w:color w:val="000000" w:themeColor="text1"/>
          <w:sz w:val="20"/>
          <w:szCs w:val="20"/>
        </w:rPr>
        <w:t xml:space="preserve"> và </w:t>
      </w:r>
      <w:bookmarkStart w:id="6" w:name="dc_3"/>
      <w:r w:rsidRPr="009266D5">
        <w:rPr>
          <w:rFonts w:asciiTheme="minorHAnsi" w:hAnsiTheme="minorHAnsi" w:cstheme="minorHAnsi"/>
          <w:color w:val="000000" w:themeColor="text1"/>
          <w:sz w:val="20"/>
          <w:szCs w:val="20"/>
        </w:rPr>
        <w:t>điểm 4 Điều 7 Nghị định số 126/2020/NĐ-CP</w:t>
      </w:r>
      <w:bookmarkEnd w:id="6"/>
      <w:r w:rsidRPr="009266D5">
        <w:rPr>
          <w:rFonts w:asciiTheme="minorHAnsi" w:hAnsiTheme="minorHAnsi" w:cstheme="minorHAnsi"/>
          <w:color w:val="000000" w:themeColor="text1"/>
          <w:sz w:val="20"/>
          <w:szCs w:val="20"/>
        </w:rPr>
        <w:t xml:space="preserve"> ngày 19/10/2020 của Chính Phủ.</w:t>
      </w:r>
    </w:p>
    <w:p w14:paraId="49EDEE37"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Rà soát đối với các hóa đơn sót mà NNT chưa kê khai qua nhiều kỳ nhưng nay kê khai bổ sung hồ sơ khai thuế thì việc kê khai bổ sung được thực hiện theo</w:t>
      </w:r>
      <w:r w:rsidRPr="009266D5">
        <w:rPr>
          <w:rFonts w:asciiTheme="minorHAnsi" w:hAnsiTheme="minorHAnsi" w:cstheme="minorHAnsi"/>
          <w:color w:val="000000" w:themeColor="text1"/>
          <w:sz w:val="20"/>
          <w:szCs w:val="20"/>
        </w:rPr>
        <w:t xml:space="preserve"> quy định hiện hành.</w:t>
      </w:r>
    </w:p>
    <w:p w14:paraId="47D8928A"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bookmarkStart w:id="7" w:name="dieu_3"/>
      <w:r w:rsidRPr="009266D5">
        <w:rPr>
          <w:rFonts w:asciiTheme="minorHAnsi" w:hAnsiTheme="minorHAnsi" w:cstheme="minorHAnsi"/>
          <w:color w:val="000000" w:themeColor="text1"/>
          <w:sz w:val="20"/>
          <w:szCs w:val="20"/>
        </w:rPr>
        <w:t>3. Trên cơ sở rà soát, đánh giá rủi ro tại điểm 2 nêu trên, trường hợp cơ quan Thuế xác định doanh nghiệp có dấu hiệu rủi ro cao về thuế, về hóa đơn, cơ quan thuế thực hiện kiểm tra ngay tại cơ quan Thuế hoặc bổ sung vào kế hoạch thanh</w:t>
      </w:r>
      <w:r w:rsidRPr="009266D5">
        <w:rPr>
          <w:rFonts w:asciiTheme="minorHAnsi" w:hAnsiTheme="minorHAnsi" w:cstheme="minorHAnsi"/>
          <w:color w:val="000000" w:themeColor="text1"/>
          <w:sz w:val="20"/>
          <w:szCs w:val="20"/>
        </w:rPr>
        <w:t xml:space="preserve"> tra, kiểm tra tại trụ sở NNT và thực hiện theo quy định.</w:t>
      </w:r>
      <w:bookmarkEnd w:id="7"/>
    </w:p>
    <w:p w14:paraId="5A7A9AD0"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bookmarkStart w:id="8" w:name="dieu_4"/>
      <w:r w:rsidRPr="009266D5">
        <w:rPr>
          <w:rFonts w:asciiTheme="minorHAnsi" w:hAnsiTheme="minorHAnsi" w:cstheme="minorHAnsi"/>
          <w:color w:val="000000" w:themeColor="text1"/>
          <w:sz w:val="20"/>
          <w:szCs w:val="20"/>
        </w:rPr>
        <w:t xml:space="preserve">4. Tổ chức đánh giá rủi ro, xây dựng và thực hiện chuyên đề thanh tra, kiểm tra thuế đối với người nộp thuế có rủi ro cao trong sử dụng hóa đơn điện tử, doanh nghiệp phát sinh giao dịch với hộ kinh </w:t>
      </w:r>
      <w:r w:rsidRPr="009266D5">
        <w:rPr>
          <w:rFonts w:asciiTheme="minorHAnsi" w:hAnsiTheme="minorHAnsi" w:cstheme="minorHAnsi"/>
          <w:color w:val="000000" w:themeColor="text1"/>
          <w:sz w:val="20"/>
          <w:szCs w:val="20"/>
        </w:rPr>
        <w:t>doanh có sử dụng nhiều hóa đơn. Việc triển khai đánh giá, kiểm tra thực hiện thống nhất trong toàn Cục Thuế để đảm bảo việc xử lý được thực hiện một cách đồng bộ, triệt để. Trường hợp qua thanh tra, kiểm tra phát hiện doanh nghiệp có hành vi gian lận, chiế</w:t>
      </w:r>
      <w:r w:rsidRPr="009266D5">
        <w:rPr>
          <w:rFonts w:asciiTheme="minorHAnsi" w:hAnsiTheme="minorHAnsi" w:cstheme="minorHAnsi"/>
          <w:color w:val="000000" w:themeColor="text1"/>
          <w:sz w:val="20"/>
          <w:szCs w:val="20"/>
        </w:rPr>
        <w:t>m đoạt tiền thuế thì kịp thời chuyển hồ sơ sang cơ quan chức năng xử lý theo quy định.</w:t>
      </w:r>
      <w:bookmarkEnd w:id="8"/>
    </w:p>
    <w:p w14:paraId="2C91FFDF"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bookmarkStart w:id="9" w:name="dieu_5"/>
      <w:r w:rsidRPr="009266D5">
        <w:rPr>
          <w:rFonts w:asciiTheme="minorHAnsi" w:hAnsiTheme="minorHAnsi" w:cstheme="minorHAnsi"/>
          <w:color w:val="000000" w:themeColor="text1"/>
          <w:sz w:val="20"/>
          <w:szCs w:val="20"/>
        </w:rPr>
        <w:t>5. Thành lập/ kiện toàn Ban Chỉ đạo, Tổ thường trực giúp việc tăng cường công tác quản lý, phòng, chống gian lận trong sử dụng hóa đơn điện tử theo một số nội dung gợi ý</w:t>
      </w:r>
      <w:r w:rsidRPr="009266D5">
        <w:rPr>
          <w:rFonts w:asciiTheme="minorHAnsi" w:hAnsiTheme="minorHAnsi" w:cstheme="minorHAnsi"/>
          <w:color w:val="000000" w:themeColor="text1"/>
          <w:sz w:val="20"/>
          <w:szCs w:val="20"/>
        </w:rPr>
        <w:t xml:space="preserve"> tại </w:t>
      </w:r>
      <w:r w:rsidRPr="009266D5">
        <w:rPr>
          <w:rFonts w:asciiTheme="minorHAnsi" w:hAnsiTheme="minorHAnsi" w:cstheme="minorHAnsi"/>
          <w:b/>
          <w:bCs/>
          <w:color w:val="000000" w:themeColor="text1"/>
          <w:sz w:val="20"/>
          <w:szCs w:val="20"/>
        </w:rPr>
        <w:t>Phụ lục</w:t>
      </w:r>
      <w:r w:rsidRPr="009266D5">
        <w:rPr>
          <w:rFonts w:asciiTheme="minorHAnsi" w:hAnsiTheme="minorHAnsi" w:cstheme="minorHAnsi"/>
          <w:color w:val="000000" w:themeColor="text1"/>
          <w:sz w:val="20"/>
          <w:szCs w:val="20"/>
        </w:rPr>
        <w:t xml:space="preserve"> kèm theo Công văn này.</w:t>
      </w:r>
      <w:bookmarkEnd w:id="9"/>
    </w:p>
    <w:p w14:paraId="7811CD79" w14:textId="77777777" w:rsidR="00324501" w:rsidRPr="009266D5" w:rsidRDefault="00C77F24" w:rsidP="009266D5">
      <w:pPr>
        <w:adjustRightInd w:val="0"/>
        <w:snapToGrid w:val="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Tổng cục Thuế thông báo để các Cục Thuế được biết và thực hiện./.</w:t>
      </w:r>
    </w:p>
    <w:p w14:paraId="5E049563" w14:textId="77777777" w:rsidR="00324501" w:rsidRPr="009266D5" w:rsidRDefault="00C77F24" w:rsidP="009266D5">
      <w:pPr>
        <w:adjustRightInd w:val="0"/>
        <w:snapToGrid w:val="0"/>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9266D5" w:rsidRPr="009266D5" w14:paraId="72DFFFB7" w14:textId="77777777" w:rsidTr="009266D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0E3EFAC" w14:textId="68D64DA9" w:rsidR="00324501" w:rsidRPr="009266D5" w:rsidRDefault="00C77F24" w:rsidP="009266D5">
            <w:pPr>
              <w:adjustRightInd w:val="0"/>
              <w:snapToGrid w:val="0"/>
              <w:rPr>
                <w:rFonts w:asciiTheme="minorHAnsi" w:hAnsiTheme="minorHAnsi" w:cstheme="minorHAnsi"/>
                <w:color w:val="000000" w:themeColor="text1"/>
                <w:sz w:val="20"/>
                <w:szCs w:val="20"/>
              </w:rPr>
            </w:pPr>
            <w:r w:rsidRPr="009266D5">
              <w:rPr>
                <w:rFonts w:asciiTheme="minorHAnsi" w:hAnsiTheme="minorHAnsi" w:cstheme="minorHAnsi"/>
                <w:b/>
                <w:bCs/>
                <w:i/>
                <w:iCs/>
                <w:color w:val="000000" w:themeColor="text1"/>
                <w:sz w:val="20"/>
                <w:szCs w:val="20"/>
              </w:rPr>
              <w:t>Nơi nhận:</w:t>
            </w:r>
            <w:r w:rsidRPr="009266D5">
              <w:rPr>
                <w:rFonts w:asciiTheme="minorHAnsi" w:hAnsiTheme="minorHAnsi" w:cstheme="minorHAnsi"/>
                <w:b/>
                <w:bCs/>
                <w:i/>
                <w:iCs/>
                <w:color w:val="000000" w:themeColor="text1"/>
                <w:sz w:val="20"/>
                <w:szCs w:val="20"/>
              </w:rPr>
              <w:br/>
            </w:r>
            <w:r w:rsidRPr="009266D5">
              <w:rPr>
                <w:rFonts w:asciiTheme="minorHAnsi" w:hAnsiTheme="minorHAnsi" w:cstheme="minorHAnsi"/>
                <w:color w:val="000000" w:themeColor="text1"/>
                <w:sz w:val="20"/>
                <w:szCs w:val="20"/>
              </w:rPr>
              <w:t>- Như trên;</w:t>
            </w:r>
            <w:r w:rsidRPr="009266D5">
              <w:rPr>
                <w:rFonts w:asciiTheme="minorHAnsi" w:hAnsiTheme="minorHAnsi" w:cstheme="minorHAnsi"/>
                <w:color w:val="000000" w:themeColor="text1"/>
                <w:sz w:val="20"/>
                <w:szCs w:val="20"/>
              </w:rPr>
              <w:br/>
              <w:t>- TCTr Mai Xuân Thành (để b/c);</w:t>
            </w:r>
            <w:r w:rsidRPr="009266D5">
              <w:rPr>
                <w:rFonts w:asciiTheme="minorHAnsi" w:hAnsiTheme="minorHAnsi" w:cstheme="minorHAnsi"/>
                <w:color w:val="000000" w:themeColor="text1"/>
                <w:sz w:val="20"/>
                <w:szCs w:val="20"/>
              </w:rPr>
              <w:br/>
              <w:t>- Phó TCTr Mai Sơn (để b/c);</w:t>
            </w:r>
            <w:r w:rsidRPr="009266D5">
              <w:rPr>
                <w:rFonts w:asciiTheme="minorHAnsi" w:hAnsiTheme="minorHAnsi" w:cstheme="minorHAnsi"/>
                <w:color w:val="000000" w:themeColor="text1"/>
                <w:sz w:val="20"/>
                <w:szCs w:val="20"/>
              </w:rPr>
              <w:br/>
              <w:t>- Các đơn vị: CS, KK, QLRR;</w:t>
            </w:r>
            <w:r w:rsidRPr="009266D5">
              <w:rPr>
                <w:rFonts w:asciiTheme="minorHAnsi" w:hAnsiTheme="minorHAnsi" w:cstheme="minorHAnsi"/>
                <w:color w:val="000000" w:themeColor="text1"/>
                <w:sz w:val="20"/>
                <w:szCs w:val="20"/>
              </w:rPr>
              <w:br/>
              <w:t xml:space="preserve">- Lưu: VT, TTKT.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36E8B39" w14:textId="54F6C4E0" w:rsidR="00324501" w:rsidRPr="009266D5" w:rsidRDefault="00C77F24" w:rsidP="009266D5">
            <w:pPr>
              <w:adjustRightInd w:val="0"/>
              <w:snapToGrid w:val="0"/>
              <w:jc w:val="center"/>
              <w:rPr>
                <w:rFonts w:asciiTheme="minorHAnsi" w:hAnsiTheme="minorHAnsi" w:cstheme="minorHAnsi"/>
                <w:color w:val="000000" w:themeColor="text1"/>
                <w:sz w:val="20"/>
                <w:szCs w:val="20"/>
              </w:rPr>
            </w:pPr>
            <w:r w:rsidRPr="009266D5">
              <w:rPr>
                <w:rFonts w:asciiTheme="minorHAnsi" w:hAnsiTheme="minorHAnsi" w:cstheme="minorHAnsi"/>
                <w:b/>
                <w:bCs/>
                <w:color w:val="000000" w:themeColor="text1"/>
                <w:sz w:val="20"/>
                <w:szCs w:val="20"/>
              </w:rPr>
              <w:t>KT. TỔNG CỤC TRƯỞNG</w:t>
            </w:r>
            <w:r w:rsidRPr="009266D5">
              <w:rPr>
                <w:rFonts w:asciiTheme="minorHAnsi" w:hAnsiTheme="minorHAnsi" w:cstheme="minorHAnsi"/>
                <w:b/>
                <w:bCs/>
                <w:color w:val="000000" w:themeColor="text1"/>
                <w:sz w:val="20"/>
                <w:szCs w:val="20"/>
              </w:rPr>
              <w:br/>
              <w:t>PHÓ</w:t>
            </w:r>
            <w:r w:rsidRPr="009266D5">
              <w:rPr>
                <w:rFonts w:asciiTheme="minorHAnsi" w:hAnsiTheme="minorHAnsi" w:cstheme="minorHAnsi"/>
                <w:b/>
                <w:bCs/>
                <w:color w:val="000000" w:themeColor="text1"/>
                <w:sz w:val="20"/>
                <w:szCs w:val="20"/>
              </w:rPr>
              <w:t xml:space="preserve"> TỔNG CỤC TRƯỞNG</w:t>
            </w:r>
            <w:r w:rsidRPr="009266D5">
              <w:rPr>
                <w:rFonts w:asciiTheme="minorHAnsi" w:hAnsiTheme="minorHAnsi" w:cstheme="minorHAnsi"/>
                <w:b/>
                <w:bCs/>
                <w:color w:val="000000" w:themeColor="text1"/>
                <w:sz w:val="20"/>
                <w:szCs w:val="20"/>
              </w:rPr>
              <w:br/>
            </w:r>
            <w:r w:rsidRPr="009266D5">
              <w:rPr>
                <w:rFonts w:asciiTheme="minorHAnsi" w:hAnsiTheme="minorHAnsi" w:cstheme="minorHAnsi"/>
                <w:b/>
                <w:bCs/>
                <w:color w:val="000000" w:themeColor="text1"/>
                <w:sz w:val="20"/>
                <w:szCs w:val="20"/>
              </w:rPr>
              <w:br/>
            </w:r>
            <w:r w:rsidRPr="009266D5">
              <w:rPr>
                <w:rFonts w:asciiTheme="minorHAnsi" w:hAnsiTheme="minorHAnsi" w:cstheme="minorHAnsi"/>
                <w:b/>
                <w:bCs/>
                <w:color w:val="000000" w:themeColor="text1"/>
                <w:sz w:val="20"/>
                <w:szCs w:val="20"/>
              </w:rPr>
              <w:br/>
            </w:r>
            <w:r w:rsidRPr="009266D5">
              <w:rPr>
                <w:rFonts w:asciiTheme="minorHAnsi" w:hAnsiTheme="minorHAnsi" w:cstheme="minorHAnsi"/>
                <w:b/>
                <w:bCs/>
                <w:color w:val="000000" w:themeColor="text1"/>
                <w:sz w:val="20"/>
                <w:szCs w:val="20"/>
              </w:rPr>
              <w:br/>
              <w:t>Vũ Chí Hùng</w:t>
            </w:r>
          </w:p>
        </w:tc>
      </w:tr>
    </w:tbl>
    <w:p w14:paraId="166212FC" w14:textId="77777777" w:rsidR="00324501" w:rsidRPr="009266D5" w:rsidRDefault="00C77F24" w:rsidP="009266D5">
      <w:pPr>
        <w:adjustRightInd w:val="0"/>
        <w:snapToGrid w:val="0"/>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w:t>
      </w:r>
    </w:p>
    <w:p w14:paraId="006E4675" w14:textId="77777777" w:rsidR="009266D5" w:rsidRDefault="009266D5" w:rsidP="009266D5">
      <w:pPr>
        <w:adjustRightInd w:val="0"/>
        <w:snapToGrid w:val="0"/>
        <w:jc w:val="center"/>
        <w:rPr>
          <w:rFonts w:asciiTheme="minorHAnsi" w:hAnsiTheme="minorHAnsi" w:cstheme="minorHAnsi"/>
          <w:b/>
          <w:bCs/>
          <w:color w:val="000000" w:themeColor="text1"/>
          <w:sz w:val="20"/>
          <w:szCs w:val="20"/>
        </w:rPr>
        <w:sectPr w:rsidR="009266D5" w:rsidSect="009266D5">
          <w:pgSz w:w="11906" w:h="16838" w:code="9"/>
          <w:pgMar w:top="1440" w:right="1440" w:bottom="1440" w:left="1440" w:header="720" w:footer="720" w:gutter="0"/>
          <w:cols w:space="720"/>
          <w:docGrid w:linePitch="326"/>
        </w:sectPr>
      </w:pPr>
      <w:bookmarkStart w:id="10" w:name="chuong_pl"/>
      <w:bookmarkStart w:id="11" w:name="_GoBack"/>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9266D5" w:rsidRPr="009266D5" w14:paraId="5CDDC863" w14:textId="77777777" w:rsidTr="00EB010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14DFFB" w14:textId="77777777" w:rsidR="009266D5" w:rsidRPr="009266D5" w:rsidRDefault="009266D5" w:rsidP="00EB010D">
            <w:pPr>
              <w:adjustRightInd w:val="0"/>
              <w:snapToGrid w:val="0"/>
              <w:jc w:val="center"/>
              <w:rPr>
                <w:rFonts w:ascii="Arial" w:hAnsi="Arial" w:cs="Arial"/>
                <w:color w:val="000000"/>
                <w:sz w:val="20"/>
                <w:szCs w:val="20"/>
              </w:rPr>
            </w:pPr>
            <w:r w:rsidRPr="009266D5">
              <w:rPr>
                <w:rFonts w:ascii="Arial" w:hAnsi="Arial" w:cs="Arial"/>
                <w:color w:val="000000"/>
                <w:sz w:val="20"/>
                <w:szCs w:val="20"/>
              </w:rPr>
              <w:lastRenderedPageBreak/>
              <w:t>BỘ TÀI CHÍNH</w:t>
            </w:r>
            <w:r w:rsidRPr="009266D5">
              <w:rPr>
                <w:rFonts w:ascii="Arial" w:hAnsi="Arial" w:cs="Arial"/>
                <w:color w:val="000000"/>
                <w:sz w:val="20"/>
                <w:szCs w:val="20"/>
              </w:rPr>
              <w:br/>
            </w:r>
            <w:r w:rsidRPr="009266D5">
              <w:rPr>
                <w:rFonts w:ascii="Arial" w:hAnsi="Arial" w:cs="Arial"/>
                <w:b/>
                <w:bCs/>
                <w:color w:val="000000"/>
                <w:sz w:val="20"/>
                <w:szCs w:val="20"/>
              </w:rPr>
              <w:t>TỔNG CỤC THUẾ</w:t>
            </w:r>
            <w:r w:rsidRPr="009266D5">
              <w:rPr>
                <w:rFonts w:ascii="Arial" w:hAnsi="Arial" w:cs="Arial"/>
                <w:b/>
                <w:bCs/>
                <w:color w:val="000000"/>
                <w:sz w:val="20"/>
                <w:szCs w:val="20"/>
              </w:rPr>
              <w:br/>
            </w:r>
            <w:r w:rsidRPr="009266D5">
              <w:rPr>
                <w:rFonts w:ascii="Arial" w:hAnsi="Arial" w:cs="Arial"/>
                <w:color w:val="000000"/>
                <w:sz w:val="20"/>
                <w:szCs w:val="20"/>
                <w:vertAlign w:val="superscript"/>
              </w:rPr>
              <w:t>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E14341" w14:textId="435D6B83" w:rsidR="009266D5" w:rsidRPr="009266D5" w:rsidRDefault="009266D5" w:rsidP="00EB010D">
            <w:pPr>
              <w:adjustRightInd w:val="0"/>
              <w:snapToGrid w:val="0"/>
              <w:jc w:val="center"/>
              <w:rPr>
                <w:rFonts w:ascii="Arial" w:hAnsi="Arial" w:cs="Arial"/>
                <w:color w:val="000000"/>
                <w:sz w:val="20"/>
                <w:szCs w:val="20"/>
              </w:rPr>
            </w:pPr>
          </w:p>
        </w:tc>
      </w:tr>
    </w:tbl>
    <w:p w14:paraId="19E22576" w14:textId="77777777" w:rsidR="009266D5" w:rsidRPr="009266D5" w:rsidRDefault="009266D5" w:rsidP="009266D5">
      <w:pPr>
        <w:adjustRightInd w:val="0"/>
        <w:snapToGrid w:val="0"/>
        <w:jc w:val="center"/>
        <w:rPr>
          <w:rFonts w:asciiTheme="minorHAnsi" w:hAnsiTheme="minorHAnsi" w:cstheme="minorHAnsi"/>
          <w:b/>
          <w:bCs/>
          <w:color w:val="000000" w:themeColor="text1"/>
          <w:sz w:val="20"/>
          <w:szCs w:val="20"/>
        </w:rPr>
      </w:pPr>
    </w:p>
    <w:p w14:paraId="5CB78FCF" w14:textId="77777777" w:rsidR="009266D5" w:rsidRPr="009266D5" w:rsidRDefault="009266D5" w:rsidP="009266D5">
      <w:pPr>
        <w:adjustRightInd w:val="0"/>
        <w:snapToGrid w:val="0"/>
        <w:jc w:val="center"/>
        <w:rPr>
          <w:rFonts w:asciiTheme="minorHAnsi" w:hAnsiTheme="minorHAnsi" w:cstheme="minorHAnsi"/>
          <w:b/>
          <w:bCs/>
          <w:color w:val="000000" w:themeColor="text1"/>
          <w:sz w:val="20"/>
          <w:szCs w:val="20"/>
        </w:rPr>
      </w:pPr>
    </w:p>
    <w:p w14:paraId="4B7EF8A1" w14:textId="13C3E1BB" w:rsidR="00324501" w:rsidRPr="009266D5" w:rsidRDefault="00C77F24" w:rsidP="009266D5">
      <w:pPr>
        <w:adjustRightInd w:val="0"/>
        <w:snapToGrid w:val="0"/>
        <w:jc w:val="center"/>
        <w:rPr>
          <w:rFonts w:asciiTheme="minorHAnsi" w:hAnsiTheme="minorHAnsi" w:cstheme="minorHAnsi"/>
          <w:color w:val="000000" w:themeColor="text1"/>
          <w:sz w:val="20"/>
          <w:szCs w:val="20"/>
        </w:rPr>
      </w:pPr>
      <w:r w:rsidRPr="009266D5">
        <w:rPr>
          <w:rFonts w:asciiTheme="minorHAnsi" w:hAnsiTheme="minorHAnsi" w:cstheme="minorHAnsi"/>
          <w:b/>
          <w:bCs/>
          <w:color w:val="000000" w:themeColor="text1"/>
          <w:sz w:val="20"/>
          <w:szCs w:val="20"/>
        </w:rPr>
        <w:t>Phụ Lục</w:t>
      </w:r>
      <w:bookmarkEnd w:id="10"/>
    </w:p>
    <w:p w14:paraId="61152356" w14:textId="71F254F5" w:rsidR="00324501" w:rsidRDefault="00C77F24" w:rsidP="009266D5">
      <w:pPr>
        <w:adjustRightInd w:val="0"/>
        <w:snapToGrid w:val="0"/>
        <w:jc w:val="center"/>
        <w:rPr>
          <w:rFonts w:asciiTheme="minorHAnsi" w:hAnsiTheme="minorHAnsi" w:cstheme="minorHAnsi"/>
          <w:i/>
          <w:iCs/>
          <w:color w:val="000000" w:themeColor="text1"/>
          <w:sz w:val="20"/>
          <w:szCs w:val="20"/>
          <w:lang w:val="en-GB"/>
        </w:rPr>
      </w:pPr>
      <w:r w:rsidRPr="009266D5">
        <w:rPr>
          <w:rFonts w:asciiTheme="minorHAnsi" w:hAnsiTheme="minorHAnsi" w:cstheme="minorHAnsi"/>
          <w:i/>
          <w:iCs/>
          <w:color w:val="000000" w:themeColor="text1"/>
          <w:sz w:val="20"/>
          <w:szCs w:val="20"/>
        </w:rPr>
        <w:t xml:space="preserve">(Ban hành kèm theo Công văn số 5255/TCT-TTKT ngày 15/11/2024 </w:t>
      </w:r>
      <w:r w:rsidR="009266D5">
        <w:rPr>
          <w:rFonts w:asciiTheme="minorHAnsi" w:hAnsiTheme="minorHAnsi" w:cstheme="minorHAnsi"/>
          <w:i/>
          <w:iCs/>
          <w:color w:val="000000" w:themeColor="text1"/>
          <w:sz w:val="20"/>
          <w:szCs w:val="20"/>
          <w:lang w:val="en-GB"/>
        </w:rPr>
        <w:br/>
      </w:r>
      <w:r w:rsidRPr="009266D5">
        <w:rPr>
          <w:rFonts w:asciiTheme="minorHAnsi" w:hAnsiTheme="minorHAnsi" w:cstheme="minorHAnsi"/>
          <w:i/>
          <w:iCs/>
          <w:color w:val="000000" w:themeColor="text1"/>
          <w:sz w:val="20"/>
          <w:szCs w:val="20"/>
        </w:rPr>
        <w:t>của Tổng cục Thuế)</w:t>
      </w:r>
    </w:p>
    <w:p w14:paraId="6B94BAF8" w14:textId="77777777" w:rsidR="009266D5" w:rsidRPr="009266D5" w:rsidRDefault="009266D5" w:rsidP="009266D5">
      <w:pPr>
        <w:adjustRightInd w:val="0"/>
        <w:snapToGrid w:val="0"/>
        <w:jc w:val="center"/>
        <w:rPr>
          <w:rFonts w:asciiTheme="minorHAnsi" w:hAnsiTheme="minorHAnsi" w:cstheme="minorHAnsi"/>
          <w:color w:val="000000" w:themeColor="text1"/>
          <w:sz w:val="20"/>
          <w:szCs w:val="20"/>
          <w:lang w:val="en-GB"/>
        </w:rPr>
      </w:pPr>
    </w:p>
    <w:p w14:paraId="02F974D6"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xml:space="preserve">Một số nội dung gợi ý xây dựng chức năng, nhiệm vụ trong việc tổ chức thành </w:t>
      </w:r>
      <w:r w:rsidRPr="009266D5">
        <w:rPr>
          <w:rFonts w:asciiTheme="minorHAnsi" w:hAnsiTheme="minorHAnsi" w:cstheme="minorHAnsi"/>
          <w:color w:val="000000" w:themeColor="text1"/>
          <w:sz w:val="20"/>
          <w:szCs w:val="20"/>
        </w:rPr>
        <w:t>lập/kiện toàn Ban Chỉ đạo, Tổ thường trực giúp việc tăng cường công tác quản lý, phòng, chống gian lận trong sử dụng hóa đơn điện tử như sau:</w:t>
      </w:r>
    </w:p>
    <w:p w14:paraId="3703DA02"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Chỉ đạo các Phòng thuộc Cục Thuế, các Chi cục Thuế/Chi cục Thuế khu vực phân công trách nhiệm đến từng công chức</w:t>
      </w:r>
      <w:r w:rsidRPr="009266D5">
        <w:rPr>
          <w:rFonts w:asciiTheme="minorHAnsi" w:hAnsiTheme="minorHAnsi" w:cstheme="minorHAnsi"/>
          <w:color w:val="000000" w:themeColor="text1"/>
          <w:sz w:val="20"/>
          <w:szCs w:val="20"/>
        </w:rPr>
        <w:t xml:space="preserve"> trong rà soát, quản lý cá nhân, doanh nghiệp sử dụng hóa đơn điện tử;</w:t>
      </w:r>
    </w:p>
    <w:p w14:paraId="29CF5546"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Chỉ đạo rà soát, xác định người nộp thuế có rủi ro cao trong sử dụng hóa đơn điện tử; xây dựng các chương trình, kế hoạch, giải pháp tăng cường công tác quản lý thuế đối với các đối t</w:t>
      </w:r>
      <w:r w:rsidRPr="009266D5">
        <w:rPr>
          <w:rFonts w:asciiTheme="minorHAnsi" w:hAnsiTheme="minorHAnsi" w:cstheme="minorHAnsi"/>
          <w:color w:val="000000" w:themeColor="text1"/>
          <w:sz w:val="20"/>
          <w:szCs w:val="20"/>
        </w:rPr>
        <w:t>ượng, lĩnh vực, mặt hàng có rủi ro cao nhằm nâng cao hiệu quả công tác quản lý, phòng, chống gian lận hóa đơn điện tử;</w:t>
      </w:r>
    </w:p>
    <w:p w14:paraId="1207210B"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xml:space="preserve">- Xây dựng kế hoạch triển khai công tác quản lý phù hợp địa bàn quản lý, báo cáo Ủy ban nhân dân tỉnh/thành phố đề nghị phối hợp với các </w:t>
      </w:r>
      <w:r w:rsidRPr="009266D5">
        <w:rPr>
          <w:rFonts w:asciiTheme="minorHAnsi" w:hAnsiTheme="minorHAnsi" w:cstheme="minorHAnsi"/>
          <w:color w:val="000000" w:themeColor="text1"/>
          <w:sz w:val="20"/>
          <w:szCs w:val="20"/>
        </w:rPr>
        <w:t>sở ban ngành liên quan (công an, thông tin truyền thông,...) nhằm triển khai các biện pháp đồng bộ ngăn chặn việc phát tán, đăng tải các thông tin rao bán hoá đơn điện tử trên không gian mạng và kịp thời xử lý các hành vi vi phạm của các đối tượng.</w:t>
      </w:r>
    </w:p>
    <w:p w14:paraId="368B68D5"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Chỉ đ</w:t>
      </w:r>
      <w:r w:rsidRPr="009266D5">
        <w:rPr>
          <w:rFonts w:asciiTheme="minorHAnsi" w:hAnsiTheme="minorHAnsi" w:cstheme="minorHAnsi"/>
          <w:color w:val="000000" w:themeColor="text1"/>
          <w:sz w:val="20"/>
          <w:szCs w:val="20"/>
        </w:rPr>
        <w:t>ạo tiếp nhận thông tin, tổ chức rà soát, phân loại đối tượng theo mức độ rủi ro, lập danh sách giám sát trọng điểm đối với đối tượng có rủi ro cao trong sử dụng hóa đơn điện tử;</w:t>
      </w:r>
    </w:p>
    <w:p w14:paraId="1D4171F2"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Chỉ đạo các Phòng/Đội thanh tra, kiểm tra triển khai các Đoàn thanh tra, kiể</w:t>
      </w:r>
      <w:r w:rsidRPr="009266D5">
        <w:rPr>
          <w:rFonts w:asciiTheme="minorHAnsi" w:hAnsiTheme="minorHAnsi" w:cstheme="minorHAnsi"/>
          <w:color w:val="000000" w:themeColor="text1"/>
          <w:sz w:val="20"/>
          <w:szCs w:val="20"/>
        </w:rPr>
        <w:t>m tra thuế đối với người nộp thuế có rủi ro cao trong sử dụng hóa đơn điện tử theo đúng chương trình, kế hoạch, giải pháp được Ban Chỉ đạo do Cục Thuế đề ra;</w:t>
      </w:r>
    </w:p>
    <w:p w14:paraId="72BD1E16"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xml:space="preserve">- Đôn đốc và tổng hợp kết quả triển khai, thực hiện quản lý thuế đối với đối tượng, lĩnh vực, mặt </w:t>
      </w:r>
      <w:r w:rsidRPr="009266D5">
        <w:rPr>
          <w:rFonts w:asciiTheme="minorHAnsi" w:hAnsiTheme="minorHAnsi" w:cstheme="minorHAnsi"/>
          <w:color w:val="000000" w:themeColor="text1"/>
          <w:sz w:val="20"/>
          <w:szCs w:val="20"/>
        </w:rPr>
        <w:t>hàng có rủi ro cao trong sử dụng hóa đơn điện tử theo chương trình, kế hoạch, giải pháp được Ban Chỉ đạo do Cục Thuế đề ra.</w:t>
      </w:r>
    </w:p>
    <w:p w14:paraId="5C3835A4" w14:textId="77777777" w:rsidR="00324501"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Chỉ đạo công tác truyền thông đến người dân, doanh nghiệp trên các phương tiện truyền thông để tuyên truyền chính sách pháp luật v</w:t>
      </w:r>
      <w:r w:rsidRPr="009266D5">
        <w:rPr>
          <w:rFonts w:asciiTheme="minorHAnsi" w:hAnsiTheme="minorHAnsi" w:cstheme="minorHAnsi"/>
          <w:color w:val="000000" w:themeColor="text1"/>
          <w:sz w:val="20"/>
          <w:szCs w:val="20"/>
        </w:rPr>
        <w:t>ề thuế, về hóa đơn, đưa ra các cảnh báo rủi ro cho người dân, doanh nghiệp biết về các hành vi vi phạm pháp luật trong sử dụng hóa đơn điện tử.</w:t>
      </w:r>
    </w:p>
    <w:p w14:paraId="736EB3F6" w14:textId="77777777" w:rsidR="001F3947" w:rsidRPr="009266D5" w:rsidRDefault="00C77F24" w:rsidP="009266D5">
      <w:pPr>
        <w:adjustRightInd w:val="0"/>
        <w:snapToGrid w:val="0"/>
        <w:spacing w:after="120"/>
        <w:ind w:firstLine="720"/>
        <w:jc w:val="both"/>
        <w:rPr>
          <w:rFonts w:asciiTheme="minorHAnsi" w:hAnsiTheme="minorHAnsi" w:cstheme="minorHAnsi"/>
          <w:color w:val="000000" w:themeColor="text1"/>
          <w:sz w:val="20"/>
          <w:szCs w:val="20"/>
        </w:rPr>
      </w:pPr>
      <w:r w:rsidRPr="009266D5">
        <w:rPr>
          <w:rFonts w:asciiTheme="minorHAnsi" w:hAnsiTheme="minorHAnsi" w:cstheme="minorHAnsi"/>
          <w:color w:val="000000" w:themeColor="text1"/>
          <w:sz w:val="20"/>
          <w:szCs w:val="20"/>
        </w:rPr>
        <w:t xml:space="preserve">- Khen thưởng/đề xuất trình Tổng cục khen thưởng đối với tổ chức, cá nhân có thành tích xuất sắc trong công tác </w:t>
      </w:r>
      <w:r w:rsidRPr="009266D5">
        <w:rPr>
          <w:rFonts w:asciiTheme="minorHAnsi" w:hAnsiTheme="minorHAnsi" w:cstheme="minorHAnsi"/>
          <w:color w:val="000000" w:themeColor="text1"/>
          <w:sz w:val="20"/>
          <w:szCs w:val="20"/>
        </w:rPr>
        <w:t>quản lý, phòng, chống gian lận trong sử dụng hóa đơn điện tử./.</w:t>
      </w:r>
    </w:p>
    <w:sectPr w:rsidR="001F3947" w:rsidRPr="009266D5" w:rsidSect="009266D5">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1DD29" w14:textId="77777777" w:rsidR="00C77F24" w:rsidRDefault="00C77F24" w:rsidP="00112807">
      <w:r>
        <w:separator/>
      </w:r>
    </w:p>
  </w:endnote>
  <w:endnote w:type="continuationSeparator" w:id="0">
    <w:p w14:paraId="19C13F08" w14:textId="77777777" w:rsidR="00C77F24" w:rsidRDefault="00C77F24" w:rsidP="0011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07D36" w14:textId="77777777" w:rsidR="00C77F24" w:rsidRDefault="00C77F24" w:rsidP="00112807">
      <w:r>
        <w:separator/>
      </w:r>
    </w:p>
  </w:footnote>
  <w:footnote w:type="continuationSeparator" w:id="0">
    <w:p w14:paraId="07A1EA0A" w14:textId="77777777" w:rsidR="00C77F24" w:rsidRDefault="00C77F24" w:rsidP="00112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7C"/>
    <w:rsid w:val="00112807"/>
    <w:rsid w:val="001F3947"/>
    <w:rsid w:val="00324501"/>
    <w:rsid w:val="00744F7C"/>
    <w:rsid w:val="009266D5"/>
    <w:rsid w:val="00C77F24"/>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A6AC5"/>
  <w15:chartTrackingRefBased/>
  <w15:docId w15:val="{9E0F21B4-6CD5-4FDD-ACB6-F50933B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6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807"/>
    <w:pPr>
      <w:tabs>
        <w:tab w:val="center" w:pos="4680"/>
        <w:tab w:val="right" w:pos="9360"/>
      </w:tabs>
    </w:pPr>
  </w:style>
  <w:style w:type="character" w:customStyle="1" w:styleId="HeaderChar">
    <w:name w:val="Header Char"/>
    <w:basedOn w:val="DefaultParagraphFont"/>
    <w:link w:val="Header"/>
    <w:uiPriority w:val="99"/>
    <w:rsid w:val="00112807"/>
    <w:rPr>
      <w:sz w:val="24"/>
      <w:szCs w:val="24"/>
    </w:rPr>
  </w:style>
  <w:style w:type="paragraph" w:styleId="Footer">
    <w:name w:val="footer"/>
    <w:basedOn w:val="Normal"/>
    <w:link w:val="FooterChar"/>
    <w:uiPriority w:val="99"/>
    <w:unhideWhenUsed/>
    <w:rsid w:val="00112807"/>
    <w:pPr>
      <w:tabs>
        <w:tab w:val="center" w:pos="4680"/>
        <w:tab w:val="right" w:pos="9360"/>
      </w:tabs>
    </w:pPr>
  </w:style>
  <w:style w:type="character" w:customStyle="1" w:styleId="FooterChar">
    <w:name w:val="Footer Char"/>
    <w:basedOn w:val="DefaultParagraphFont"/>
    <w:link w:val="Footer"/>
    <w:uiPriority w:val="99"/>
    <w:rsid w:val="001128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NGUYỄN XUÂN HUY</cp:lastModifiedBy>
  <cp:revision>4</cp:revision>
  <cp:lastPrinted>1899-12-31T17:00:00Z</cp:lastPrinted>
  <dcterms:created xsi:type="dcterms:W3CDTF">2024-11-28T01:56:00Z</dcterms:created>
  <dcterms:modified xsi:type="dcterms:W3CDTF">2024-12-02T07:04:00Z</dcterms:modified>
</cp:coreProperties>
</file>