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1F763F" w:rsidRPr="001F763F" w:rsidTr="005A3389">
        <w:trPr>
          <w:trHeight w:val="920"/>
        </w:trPr>
        <w:tc>
          <w:tcPr>
            <w:tcW w:w="180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3F" w:rsidRPr="001F763F" w:rsidRDefault="001F763F" w:rsidP="008306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1F763F">
              <w:rPr>
                <w:rFonts w:ascii="Arial" w:hAnsi="Arial" w:cs="Arial"/>
                <w:b/>
                <w:color w:val="auto"/>
                <w:sz w:val="20"/>
                <w:szCs w:val="20"/>
              </w:rPr>
              <w:t>B</w:t>
            </w:r>
            <w:r w:rsidRPr="001F763F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Ộ</w:t>
            </w:r>
            <w:r w:rsidRPr="001F763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TÀI CHÍNH</w:t>
            </w:r>
            <w:r w:rsidRPr="001F763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1F763F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</w:t>
            </w:r>
          </w:p>
          <w:p w:rsidR="001F763F" w:rsidRPr="001F763F" w:rsidRDefault="001F763F" w:rsidP="008306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Số: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69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/2024/TT-BTC</w:t>
            </w:r>
          </w:p>
        </w:tc>
        <w:tc>
          <w:tcPr>
            <w:tcW w:w="320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3F" w:rsidRPr="001F763F" w:rsidRDefault="001F763F" w:rsidP="008306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1F763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1F763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1F763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1F763F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</w:t>
            </w:r>
          </w:p>
          <w:p w:rsidR="001F763F" w:rsidRPr="001F763F" w:rsidRDefault="001F763F" w:rsidP="008306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763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Hà Nội, ngày 01 th</w:t>
            </w:r>
            <w:r w:rsidRPr="001F763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á</w:t>
            </w:r>
            <w:r w:rsidRPr="001F763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</w:t>
            </w:r>
            <w:r w:rsidRPr="001F763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 xml:space="preserve"> 10</w:t>
            </w:r>
            <w:r w:rsidRPr="001F763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năm 2024</w:t>
            </w:r>
          </w:p>
        </w:tc>
      </w:tr>
    </w:tbl>
    <w:p w:rsidR="001F763F" w:rsidRPr="001F763F" w:rsidRDefault="001F763F" w:rsidP="008306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F763F" w:rsidRPr="001F763F" w:rsidRDefault="001F763F" w:rsidP="008306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F763F" w:rsidRPr="001F763F" w:rsidRDefault="001F763F" w:rsidP="00830617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1F763F">
        <w:rPr>
          <w:rFonts w:ascii="Arial" w:hAnsi="Arial" w:cs="Arial"/>
          <w:b/>
          <w:bCs/>
          <w:color w:val="auto"/>
          <w:sz w:val="20"/>
          <w:szCs w:val="20"/>
        </w:rPr>
        <w:t>THÔNG TƯ</w:t>
      </w:r>
    </w:p>
    <w:p w:rsidR="001F763F" w:rsidRPr="001F763F" w:rsidRDefault="001F763F" w:rsidP="008306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F763F">
        <w:rPr>
          <w:rFonts w:ascii="Arial" w:hAnsi="Arial" w:cs="Arial"/>
          <w:b/>
          <w:bCs/>
          <w:color w:val="auto"/>
          <w:sz w:val="20"/>
          <w:szCs w:val="20"/>
        </w:rPr>
        <w:t>Quy định danh mục hàng hóa, dịch vụ</w:t>
      </w:r>
      <w:r w:rsidRPr="001F763F">
        <w:rPr>
          <w:rFonts w:ascii="Arial" w:hAnsi="Arial" w:cs="Arial"/>
          <w:b/>
          <w:bCs/>
          <w:color w:val="auto"/>
          <w:sz w:val="20"/>
          <w:szCs w:val="20"/>
        </w:rPr>
        <w:br/>
        <w:t>áp dụng mua sắm tập trung cấp quốc gia</w:t>
      </w:r>
    </w:p>
    <w:p w:rsidR="001F763F" w:rsidRPr="001F763F" w:rsidRDefault="001F763F" w:rsidP="00830617">
      <w:pPr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</w:pPr>
      <w:r w:rsidRPr="001F763F">
        <w:rPr>
          <w:rFonts w:ascii="Arial" w:hAnsi="Arial" w:cs="Arial"/>
          <w:bCs/>
          <w:color w:val="auto"/>
          <w:sz w:val="20"/>
          <w:szCs w:val="20"/>
          <w:vertAlign w:val="superscript"/>
          <w:lang w:val="en-SG"/>
        </w:rPr>
        <w:t>_________________</w:t>
      </w:r>
    </w:p>
    <w:p w:rsidR="001F763F" w:rsidRPr="001F763F" w:rsidRDefault="001F763F" w:rsidP="00830617">
      <w:pPr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:rsidR="001F763F" w:rsidRPr="0034086D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1F763F">
        <w:rPr>
          <w:rFonts w:ascii="Arial" w:hAnsi="Arial" w:cs="Arial"/>
          <w:i/>
          <w:iCs/>
          <w:color w:val="auto"/>
          <w:sz w:val="20"/>
          <w:szCs w:val="20"/>
        </w:rPr>
        <w:t>Căn cứ Luật Đấu thầ</w:t>
      </w:r>
      <w:r w:rsidR="0034086D">
        <w:rPr>
          <w:rFonts w:ascii="Arial" w:hAnsi="Arial" w:cs="Arial"/>
          <w:i/>
          <w:iCs/>
          <w:color w:val="auto"/>
          <w:sz w:val="20"/>
          <w:szCs w:val="20"/>
        </w:rPr>
        <w:t>u ngày 23 tháng 6 năm 2023</w:t>
      </w:r>
      <w:r w:rsidR="0034086D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;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1F763F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>n cứ Nghị định s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 xml:space="preserve"> 14/2023/NĐ-CP ngày 20 th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á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 xml:space="preserve">ng 4 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năm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 xml:space="preserve"> 2023 của Ch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í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>nh ph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ủ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chức năng, nhiệm vụ, quyền hạn và cơ c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ấ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>u tổ chức của Bộ Tài chính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;</w:t>
      </w:r>
    </w:p>
    <w:p w:rsidR="001F763F" w:rsidRPr="0034086D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1F763F">
        <w:rPr>
          <w:rFonts w:ascii="Arial" w:hAnsi="Arial" w:cs="Arial"/>
          <w:i/>
          <w:iCs/>
          <w:color w:val="auto"/>
          <w:sz w:val="20"/>
          <w:szCs w:val="20"/>
        </w:rPr>
        <w:t>Theo đề nghị của Cục trư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ở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>ng Cục Quản lý công s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="0034086D">
        <w:rPr>
          <w:rFonts w:ascii="Arial" w:hAnsi="Arial" w:cs="Arial"/>
          <w:i/>
          <w:iCs/>
          <w:color w:val="auto"/>
          <w:sz w:val="20"/>
          <w:szCs w:val="20"/>
        </w:rPr>
        <w:t>n</w:t>
      </w:r>
      <w:r w:rsidR="0034086D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;</w:t>
      </w:r>
    </w:p>
    <w:p w:rsidR="001F763F" w:rsidRPr="001F763F" w:rsidRDefault="001F763F" w:rsidP="00830617">
      <w:pPr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1F763F">
        <w:rPr>
          <w:rFonts w:ascii="Arial" w:hAnsi="Arial" w:cs="Arial"/>
          <w:i/>
          <w:iCs/>
          <w:color w:val="auto"/>
          <w:sz w:val="20"/>
          <w:szCs w:val="20"/>
        </w:rPr>
        <w:t>Bộ trư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ở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 xml:space="preserve">ng Bộ Tài chính ban hành Thông tư quy định danh mục hàng hóa, dịch vụ 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á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>p dụng mua s</w:t>
      </w:r>
      <w:r w:rsidRPr="001F763F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ắ</w:t>
      </w:r>
      <w:r w:rsidRPr="001F763F">
        <w:rPr>
          <w:rFonts w:ascii="Arial" w:hAnsi="Arial" w:cs="Arial"/>
          <w:i/>
          <w:iCs/>
          <w:color w:val="auto"/>
          <w:sz w:val="20"/>
          <w:szCs w:val="20"/>
        </w:rPr>
        <w:t>m tập trung cấp quốc gia.</w:t>
      </w:r>
    </w:p>
    <w:p w:rsidR="001F763F" w:rsidRPr="001F763F" w:rsidRDefault="001F763F" w:rsidP="00830617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F763F">
        <w:rPr>
          <w:rFonts w:ascii="Arial" w:hAnsi="Arial" w:cs="Arial"/>
          <w:b/>
          <w:bCs/>
          <w:color w:val="auto"/>
          <w:sz w:val="20"/>
          <w:szCs w:val="20"/>
        </w:rPr>
        <w:t>Điều 1. Phạm vi điều chỉnh, đối tượng áp dụng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End w:id="0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Pr="001F763F">
        <w:rPr>
          <w:rFonts w:ascii="Arial" w:hAnsi="Arial" w:cs="Arial"/>
          <w:color w:val="auto"/>
          <w:sz w:val="20"/>
          <w:szCs w:val="20"/>
        </w:rPr>
        <w:t>Phạm vi điều ch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ỉ</w:t>
      </w:r>
      <w:r w:rsidRPr="001F763F">
        <w:rPr>
          <w:rFonts w:ascii="Arial" w:hAnsi="Arial" w:cs="Arial"/>
          <w:color w:val="auto"/>
          <w:sz w:val="20"/>
          <w:szCs w:val="20"/>
        </w:rPr>
        <w:t>nh: Thông tư này quy định danh mục hàng hóa, dịch vụ áp dụng mua sắm tập trung cấp quốc gia theo quy định tại điểm b kho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1F763F">
        <w:rPr>
          <w:rFonts w:ascii="Arial" w:hAnsi="Arial" w:cs="Arial"/>
          <w:color w:val="auto"/>
          <w:sz w:val="20"/>
          <w:szCs w:val="20"/>
        </w:rPr>
        <w:t>n 2 Điều 53 Luật Đấu thầu năm 2023.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bookmark1"/>
      <w:bookmarkEnd w:id="1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Pr="001F763F">
        <w:rPr>
          <w:rFonts w:ascii="Arial" w:hAnsi="Arial" w:cs="Arial"/>
          <w:color w:val="auto"/>
          <w:sz w:val="20"/>
          <w:szCs w:val="20"/>
        </w:rPr>
        <w:t>Đối tượng áp dụng: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bookmark2"/>
      <w:bookmarkEnd w:id="2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a) </w:t>
      </w:r>
      <w:r w:rsidRPr="001F763F">
        <w:rPr>
          <w:rFonts w:ascii="Arial" w:hAnsi="Arial" w:cs="Arial"/>
          <w:color w:val="auto"/>
          <w:sz w:val="20"/>
          <w:szCs w:val="20"/>
        </w:rPr>
        <w:t>Đơn vị mua sắm tập trung của các Bộ, cơ quan trung ương, các tỉnh, thành ph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ố </w:t>
      </w:r>
      <w:r w:rsidRPr="001F763F">
        <w:rPr>
          <w:rFonts w:ascii="Arial" w:hAnsi="Arial" w:cs="Arial"/>
          <w:color w:val="auto"/>
          <w:sz w:val="20"/>
          <w:szCs w:val="20"/>
        </w:rPr>
        <w:t>trực thuộc Trung ương.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End w:id="3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b) </w:t>
      </w:r>
      <w:r w:rsidRPr="001F763F">
        <w:rPr>
          <w:rFonts w:ascii="Arial" w:hAnsi="Arial" w:cs="Arial"/>
          <w:color w:val="auto"/>
          <w:sz w:val="20"/>
          <w:szCs w:val="20"/>
        </w:rPr>
        <w:t>Cơ quan nhà nước, đơn vị sự nghiệp công lập, đơn vị lực lượng v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ũ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trang nhân dân, cơ quan 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Đả</w:t>
      </w:r>
      <w:r w:rsidRPr="001F763F">
        <w:rPr>
          <w:rFonts w:ascii="Arial" w:hAnsi="Arial" w:cs="Arial"/>
          <w:color w:val="auto"/>
          <w:sz w:val="20"/>
          <w:szCs w:val="20"/>
        </w:rPr>
        <w:t>ng cộng sản Việt Nam, Mặt trận T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quốc Việt Nam, t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chức chính trị - x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ã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hội (sau 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1F763F">
        <w:rPr>
          <w:rFonts w:ascii="Arial" w:hAnsi="Arial" w:cs="Arial"/>
          <w:color w:val="auto"/>
          <w:sz w:val="20"/>
          <w:szCs w:val="20"/>
        </w:rPr>
        <w:t>ây gọi là cơ quan, tổ chức, đơn vị).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F763F">
        <w:rPr>
          <w:rFonts w:ascii="Arial" w:hAnsi="Arial" w:cs="Arial"/>
          <w:b/>
          <w:bCs/>
          <w:color w:val="auto"/>
          <w:sz w:val="20"/>
          <w:szCs w:val="20"/>
        </w:rPr>
        <w:t>Điều 2. Danh mục hàng hóa, dịch vụ áp dụng mua sắm tập trung cấp quốc gia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bookmark4"/>
      <w:bookmarkEnd w:id="4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Pr="001F763F">
        <w:rPr>
          <w:rFonts w:ascii="Arial" w:hAnsi="Arial" w:cs="Arial"/>
          <w:color w:val="auto"/>
          <w:sz w:val="20"/>
          <w:szCs w:val="20"/>
        </w:rPr>
        <w:t>Danh mục hàng hóa, dịch vụ áp dụng mua s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Pr="001F763F">
        <w:rPr>
          <w:rFonts w:ascii="Arial" w:hAnsi="Arial" w:cs="Arial"/>
          <w:color w:val="auto"/>
          <w:sz w:val="20"/>
          <w:szCs w:val="20"/>
        </w:rPr>
        <w:t>m tập trung cấp quốc gia là xe ô tô phục vụ công tác chung của cơ quan, tổ chức, đơn vị; bao g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ồ</w:t>
      </w:r>
      <w:r w:rsidRPr="001F763F">
        <w:rPr>
          <w:rFonts w:ascii="Arial" w:hAnsi="Arial" w:cs="Arial"/>
          <w:color w:val="auto"/>
          <w:sz w:val="20"/>
          <w:szCs w:val="20"/>
        </w:rPr>
        <w:t>m: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bookmark5"/>
      <w:bookmarkEnd w:id="5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a) </w:t>
      </w:r>
      <w:r w:rsidRPr="001F763F">
        <w:rPr>
          <w:rFonts w:ascii="Arial" w:hAnsi="Arial" w:cs="Arial"/>
          <w:color w:val="auto"/>
          <w:sz w:val="20"/>
          <w:szCs w:val="20"/>
        </w:rPr>
        <w:t>Xe ô tô phục vụ công tác chung 4-5 chỗ ngồi.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6" w:name="bookmark6"/>
      <w:bookmarkEnd w:id="6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b) </w:t>
      </w:r>
      <w:r w:rsidRPr="001F763F">
        <w:rPr>
          <w:rFonts w:ascii="Arial" w:hAnsi="Arial" w:cs="Arial"/>
          <w:color w:val="auto"/>
          <w:sz w:val="20"/>
          <w:szCs w:val="20"/>
        </w:rPr>
        <w:t>Xe ô tô phục vụ c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Pr="001F763F">
        <w:rPr>
          <w:rFonts w:ascii="Arial" w:hAnsi="Arial" w:cs="Arial"/>
          <w:color w:val="auto"/>
          <w:sz w:val="20"/>
          <w:szCs w:val="20"/>
        </w:rPr>
        <w:t>ng tác chung 7-9 ch</w:t>
      </w:r>
      <w:r w:rsidR="00E04EF2">
        <w:rPr>
          <w:rFonts w:ascii="Arial" w:hAnsi="Arial" w:cs="Arial"/>
          <w:color w:val="auto"/>
          <w:sz w:val="20"/>
          <w:szCs w:val="20"/>
          <w:lang w:val="en-SG"/>
        </w:rPr>
        <w:t>ỗ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ngồi.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7" w:name="bookmark7"/>
      <w:bookmarkEnd w:id="7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c) 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Xe 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tô phục vụ công tác chung 12-16 chỗ ngồi.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bookmark8"/>
      <w:bookmarkEnd w:id="8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d) </w:t>
      </w:r>
      <w:r w:rsidRPr="001F763F">
        <w:rPr>
          <w:rFonts w:ascii="Arial" w:hAnsi="Arial" w:cs="Arial"/>
          <w:color w:val="auto"/>
          <w:sz w:val="20"/>
          <w:szCs w:val="20"/>
        </w:rPr>
        <w:t>Xe ô tô phục vụ công tác chung bán tải.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9" w:name="bookmark9"/>
      <w:bookmarkEnd w:id="9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Pr="001F763F">
        <w:rPr>
          <w:rFonts w:ascii="Arial" w:hAnsi="Arial" w:cs="Arial"/>
          <w:color w:val="auto"/>
          <w:sz w:val="20"/>
          <w:szCs w:val="20"/>
        </w:rPr>
        <w:t>Danh mục quy định tại khoản 1 Điều này không áp dụng đối với xe ô tô phục vụ công tác chung là:</w:t>
      </w:r>
    </w:p>
    <w:p w:rsidR="00236B28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F763F">
        <w:rPr>
          <w:rFonts w:ascii="Arial" w:hAnsi="Arial" w:cs="Arial"/>
          <w:color w:val="auto"/>
          <w:sz w:val="20"/>
          <w:szCs w:val="20"/>
        </w:rPr>
        <w:t>a) Xe ô tô phục vụ công tác chung của cơ quan Việt Nam ở nước ngoài.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F763F">
        <w:rPr>
          <w:rFonts w:ascii="Arial" w:hAnsi="Arial" w:cs="Arial"/>
          <w:color w:val="auto"/>
          <w:sz w:val="20"/>
          <w:szCs w:val="20"/>
        </w:rPr>
        <w:t>b) Xe ô tô 2 cầu có công suất lớn theo quy định tại khoản 2 Điều 15 Nghị định số 72/2023/NĐ-CP ngày 26 tháng 9 năm 2023 của Chính ph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quy định tiêu chu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Pr="001F763F">
        <w:rPr>
          <w:rFonts w:ascii="Arial" w:hAnsi="Arial" w:cs="Arial"/>
          <w:color w:val="auto"/>
          <w:sz w:val="20"/>
          <w:szCs w:val="20"/>
        </w:rPr>
        <w:t>n, định mức s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dụng xe ô tô.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F763F">
        <w:rPr>
          <w:rFonts w:ascii="Arial" w:hAnsi="Arial" w:cs="Arial"/>
          <w:b/>
          <w:bCs/>
          <w:color w:val="auto"/>
          <w:sz w:val="20"/>
          <w:szCs w:val="20"/>
        </w:rPr>
        <w:t>Điều 3. Điều khoản thi hành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bookmark10"/>
      <w:bookmarkEnd w:id="10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Pr="001F763F">
        <w:rPr>
          <w:rFonts w:ascii="Arial" w:hAnsi="Arial" w:cs="Arial"/>
          <w:color w:val="auto"/>
          <w:sz w:val="20"/>
          <w:szCs w:val="20"/>
        </w:rPr>
        <w:t>Thông tư này có hiệu lực thi hành từ ngày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 15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tháng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 11 </w:t>
      </w:r>
      <w:r w:rsidRPr="001F763F">
        <w:rPr>
          <w:rFonts w:ascii="Arial" w:hAnsi="Arial" w:cs="Arial"/>
          <w:color w:val="auto"/>
          <w:sz w:val="20"/>
          <w:szCs w:val="20"/>
        </w:rPr>
        <w:t>năm 2024.</w:t>
      </w:r>
    </w:p>
    <w:p w:rsidR="001F763F" w:rsidRPr="001F763F" w:rsidRDefault="001F763F" w:rsidP="001F763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1" w:name="bookmark11"/>
      <w:bookmarkEnd w:id="11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Pr="001F763F">
        <w:rPr>
          <w:rFonts w:ascii="Arial" w:hAnsi="Arial" w:cs="Arial"/>
          <w:color w:val="auto"/>
          <w:sz w:val="20"/>
          <w:szCs w:val="20"/>
        </w:rPr>
        <w:t>Việc t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chức thực hiện mua s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Pr="001F763F">
        <w:rPr>
          <w:rFonts w:ascii="Arial" w:hAnsi="Arial" w:cs="Arial"/>
          <w:color w:val="auto"/>
          <w:sz w:val="20"/>
          <w:szCs w:val="20"/>
        </w:rPr>
        <w:t>m tập trung đối với tài s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n thuộc Danh mục hàng hóa, dịch vụ mua sắm tập trung cấp quốc gia quy định tại Điều 2 Thông tư này 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ược thực hiện khi đáp ứng điều kiện quy định tại điểm a khoản 1 Điều 53 Luật 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1F763F">
        <w:rPr>
          <w:rFonts w:ascii="Arial" w:hAnsi="Arial" w:cs="Arial"/>
          <w:color w:val="auto"/>
          <w:sz w:val="20"/>
          <w:szCs w:val="20"/>
        </w:rPr>
        <w:t>ấu thầu năm 2023 và thực hiện theo quy định của Chính phủ.</w:t>
      </w:r>
    </w:p>
    <w:p w:rsidR="001F763F" w:rsidRPr="001F763F" w:rsidRDefault="001F763F" w:rsidP="00DC1B4E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2"/>
      <w:bookmarkEnd w:id="12"/>
      <w:r w:rsidRPr="001F763F">
        <w:rPr>
          <w:rFonts w:ascii="Arial" w:hAnsi="Arial" w:cs="Arial"/>
          <w:color w:val="auto"/>
          <w:sz w:val="20"/>
          <w:szCs w:val="20"/>
          <w:lang w:val="en-SG"/>
        </w:rPr>
        <w:t xml:space="preserve">3. </w:t>
      </w:r>
      <w:r w:rsidRPr="001F763F">
        <w:rPr>
          <w:rFonts w:ascii="Arial" w:hAnsi="Arial" w:cs="Arial"/>
          <w:color w:val="auto"/>
          <w:sz w:val="20"/>
          <w:szCs w:val="20"/>
        </w:rPr>
        <w:t>Trong quá trình thực hiện nếu phát sinh vướng mắc, đề nghị các cơ quan, tổ chức, đơn vị ph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1F763F">
        <w:rPr>
          <w:rFonts w:ascii="Arial" w:hAnsi="Arial" w:cs="Arial"/>
          <w:color w:val="auto"/>
          <w:sz w:val="20"/>
          <w:szCs w:val="20"/>
        </w:rPr>
        <w:t>n ánh kịp thời về Bộ Tài chính để phối hợp x</w:t>
      </w:r>
      <w:r w:rsidRPr="001F763F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Pr="001F763F">
        <w:rPr>
          <w:rFonts w:ascii="Arial" w:hAnsi="Arial" w:cs="Arial"/>
          <w:color w:val="auto"/>
          <w:sz w:val="20"/>
          <w:szCs w:val="20"/>
        </w:rPr>
        <w:t xml:space="preserve"> lý./.</w:t>
      </w:r>
    </w:p>
    <w:p w:rsidR="001F763F" w:rsidRPr="001F763F" w:rsidRDefault="001F763F" w:rsidP="00732AC1">
      <w:pPr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16"/>
      </w:tblGrid>
      <w:tr w:rsidR="001F763F" w:rsidRPr="001F763F" w:rsidTr="00732AC1">
        <w:tc>
          <w:tcPr>
            <w:tcW w:w="4664" w:type="dxa"/>
          </w:tcPr>
          <w:p w:rsidR="001F763F" w:rsidRPr="001F763F" w:rsidRDefault="001F763F" w:rsidP="00732AC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F763F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3" w:name="bookmark13"/>
            <w:bookmarkEnd w:id="13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Ban B</w:t>
            </w:r>
            <w:bookmarkStart w:id="14" w:name="_GoBack"/>
            <w:bookmarkEnd w:id="14"/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í thư Trung ương Đ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ả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" w:name="bookmark14"/>
            <w:bookmarkEnd w:id="15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lastRenderedPageBreak/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Thủ tướng Chính ph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ủ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 và các Phó th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ủ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 tướng Chính phủ;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" w:name="bookmark15"/>
            <w:bookmarkEnd w:id="16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ă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 phòng Trung ương và các Ban của Đ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ả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7" w:name="bookmark16"/>
            <w:bookmarkEnd w:id="17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Văn ph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ò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 T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 bí thư;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8" w:name="bookmark17"/>
            <w:bookmarkEnd w:id="18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ă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n phòng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Q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ố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 hội;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9" w:name="bookmark18"/>
            <w:bookmarkEnd w:id="19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Văn phòng Ch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ủ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 tịch nước: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0" w:name="bookmark19"/>
            <w:bookmarkEnd w:id="20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Văn phòng Ch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í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nh phủ;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1" w:name="bookmark20"/>
            <w:bookmarkEnd w:id="21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Viện Ki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ể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m sát nhân dân tối cao;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2" w:name="bookmark21"/>
            <w:bookmarkEnd w:id="22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Toà án Nhân dân tối cao;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3" w:name="bookmark22"/>
            <w:bookmarkEnd w:id="23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Kiểm toán Nhà nước;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4" w:name="bookmark23"/>
            <w:bookmarkEnd w:id="24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Các Bộ, cơ quan ngang Bộ, cơ quan thuộc Chính phủ;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5" w:name="bookmark24"/>
            <w:bookmarkEnd w:id="25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Cơ quan trung ương của các tổ chức đoàn th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ể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6" w:name="bookmark25"/>
            <w:bookmarkEnd w:id="26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HĐND, UBND các tỉnh, TP trực thuộc Trung ương;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7" w:name="bookmark26"/>
            <w:bookmarkEnd w:id="27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Sở Tài chính các t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ỉ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nh, TP trực thuộc Trung ương;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8" w:name="bookmark27"/>
            <w:bookmarkEnd w:id="28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Cục Ki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ể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m tra văn b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ả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n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Q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PPL (Bộ Tư pháp);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9" w:name="bookmark28"/>
            <w:bookmarkEnd w:id="29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Công báo;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0" w:name="bookmark29"/>
            <w:bookmarkEnd w:id="30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 thông tin điện tử Chính phủ;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1" w:name="bookmark30"/>
            <w:bookmarkEnd w:id="31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 th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ô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ng tin điện tử Bộ Tài chính;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2" w:name="bookmark31"/>
            <w:bookmarkEnd w:id="32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Các đơn vị thuộc Bộ Tài chính;</w:t>
            </w:r>
          </w:p>
          <w:p w:rsidR="001F763F" w:rsidRPr="001F763F" w:rsidRDefault="001F763F" w:rsidP="00732A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3" w:name="bookmark32"/>
            <w:bookmarkEnd w:id="33"/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 xml:space="preserve">Lưu: VT, 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Q</w:t>
            </w:r>
            <w:r w:rsidRPr="001F763F">
              <w:rPr>
                <w:rFonts w:ascii="Arial" w:hAnsi="Arial" w:cs="Arial"/>
                <w:color w:val="auto"/>
                <w:sz w:val="20"/>
                <w:szCs w:val="20"/>
              </w:rPr>
              <w:t>LCS.</w:t>
            </w:r>
          </w:p>
        </w:tc>
        <w:tc>
          <w:tcPr>
            <w:tcW w:w="4664" w:type="dxa"/>
          </w:tcPr>
          <w:p w:rsidR="001F763F" w:rsidRPr="00732AC1" w:rsidRDefault="001F763F" w:rsidP="00732AC1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32AC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KT. B</w:t>
            </w:r>
            <w:r w:rsidRPr="00732AC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Ộ</w:t>
            </w:r>
            <w:r w:rsidRPr="00732AC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TRƯỞNG</w:t>
            </w:r>
          </w:p>
          <w:p w:rsidR="001F763F" w:rsidRDefault="001F763F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r w:rsidRPr="00732AC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THỨ TRƯỞNG</w:t>
            </w:r>
          </w:p>
          <w:p w:rsidR="00732AC1" w:rsidRDefault="00732AC1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732AC1" w:rsidRDefault="00732AC1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732AC1" w:rsidRDefault="00732AC1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732AC1" w:rsidRDefault="00732AC1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732AC1" w:rsidRDefault="00732AC1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732AC1" w:rsidRPr="00732AC1" w:rsidRDefault="00732AC1" w:rsidP="00732AC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1F763F" w:rsidRPr="001F763F" w:rsidRDefault="001F763F" w:rsidP="00732AC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r w:rsidRPr="00732AC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Bùi Văn Khắng</w:t>
            </w:r>
          </w:p>
        </w:tc>
      </w:tr>
    </w:tbl>
    <w:p w:rsidR="001F763F" w:rsidRPr="001F763F" w:rsidRDefault="001F763F" w:rsidP="00732AC1">
      <w:pPr>
        <w:jc w:val="center"/>
        <w:rPr>
          <w:rFonts w:ascii="Arial" w:hAnsi="Arial" w:cs="Arial"/>
          <w:color w:val="auto"/>
          <w:sz w:val="20"/>
          <w:szCs w:val="20"/>
        </w:rPr>
      </w:pPr>
    </w:p>
    <w:sectPr w:rsidR="001F763F" w:rsidRPr="001F763F" w:rsidSect="00236B28"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57" w:rsidRDefault="007E6157">
      <w:r>
        <w:separator/>
      </w:r>
    </w:p>
  </w:endnote>
  <w:endnote w:type="continuationSeparator" w:id="0">
    <w:p w:rsidR="007E6157" w:rsidRDefault="007E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57" w:rsidRDefault="007E6157"/>
  </w:footnote>
  <w:footnote w:type="continuationSeparator" w:id="0">
    <w:p w:rsidR="007E6157" w:rsidRDefault="007E6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4812"/>
    <w:multiLevelType w:val="multilevel"/>
    <w:tmpl w:val="626E6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370E65"/>
    <w:multiLevelType w:val="multilevel"/>
    <w:tmpl w:val="B8727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16205D"/>
    <w:multiLevelType w:val="multilevel"/>
    <w:tmpl w:val="A8346F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2350F3"/>
    <w:multiLevelType w:val="multilevel"/>
    <w:tmpl w:val="5F84A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1E0E73"/>
    <w:multiLevelType w:val="multilevel"/>
    <w:tmpl w:val="272E7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A674E"/>
    <w:multiLevelType w:val="multilevel"/>
    <w:tmpl w:val="E98A1B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77"/>
    <w:rsid w:val="00004087"/>
    <w:rsid w:val="001F763F"/>
    <w:rsid w:val="00236B28"/>
    <w:rsid w:val="00272019"/>
    <w:rsid w:val="00296E20"/>
    <w:rsid w:val="0034086D"/>
    <w:rsid w:val="003A53AB"/>
    <w:rsid w:val="004802CB"/>
    <w:rsid w:val="004D3C2A"/>
    <w:rsid w:val="0067629B"/>
    <w:rsid w:val="00732AC1"/>
    <w:rsid w:val="007A0DA8"/>
    <w:rsid w:val="007E6157"/>
    <w:rsid w:val="00830617"/>
    <w:rsid w:val="00840A46"/>
    <w:rsid w:val="00A20377"/>
    <w:rsid w:val="00A22E59"/>
    <w:rsid w:val="00AF7879"/>
    <w:rsid w:val="00D01184"/>
    <w:rsid w:val="00DA636A"/>
    <w:rsid w:val="00DC1B4E"/>
    <w:rsid w:val="00E04EF2"/>
    <w:rsid w:val="00E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916C5-FB40-4B11-B020-9867B76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30">
    <w:name w:val="Body text (3)"/>
    <w:basedOn w:val="Normal"/>
    <w:link w:val="Bodytext3"/>
    <w:pPr>
      <w:spacing w:after="270" w:line="230" w:lineRule="auto"/>
      <w:ind w:left="5920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40">
    <w:name w:val="Body text (4)"/>
    <w:basedOn w:val="Normal"/>
    <w:link w:val="Bodytext4"/>
    <w:pPr>
      <w:spacing w:after="120" w:line="264" w:lineRule="auto"/>
      <w:ind w:right="500" w:firstLine="350"/>
    </w:pPr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qFormat/>
    <w:pPr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7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B2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6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B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2024-10-02T07:38:00Z</dcterms:created>
  <dcterms:modified xsi:type="dcterms:W3CDTF">2024-10-04T01:32:00Z</dcterms:modified>
</cp:coreProperties>
</file>