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3B002E" w:rsidRPr="003B002E" w14:paraId="2FDBE602" w14:textId="77777777" w:rsidTr="00257D50">
        <w:tc>
          <w:tcPr>
            <w:tcW w:w="1959" w:type="pct"/>
          </w:tcPr>
          <w:p w14:paraId="202603D6" w14:textId="1BF1D5C7" w:rsidR="00864083" w:rsidRPr="003B002E" w:rsidRDefault="0071523E" w:rsidP="003B002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21/2026/TT-BTC</w:t>
            </w:r>
          </w:p>
        </w:tc>
        <w:tc>
          <w:tcPr>
            <w:tcW w:w="3041" w:type="pct"/>
          </w:tcPr>
          <w:p w14:paraId="6D6DFEFB" w14:textId="27A2EDAA" w:rsidR="00864083" w:rsidRPr="003B002E" w:rsidRDefault="0071523E" w:rsidP="003B002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15370EED" w14:textId="77777777" w:rsidR="003B002E" w:rsidRPr="003B002E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D06A80" w14:textId="77777777" w:rsidR="003B002E" w:rsidRPr="003B002E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13BA43" w14:textId="7C446480" w:rsidR="00864083" w:rsidRPr="003B002E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69DD6684" w14:textId="77777777" w:rsidR="00864083" w:rsidRPr="00211829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80/2021/TT-BTC ngày 29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tháng 9 năm 2021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thi hành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và Ngh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126/2020/NĐ-CP ngày 19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tháng 10 năm 2020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57E7584" w14:textId="77777777" w:rsidR="003B002E" w:rsidRPr="00211829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B2CF69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38/2019/QH14 đư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7FCBD9D7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đai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 đư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các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43/2024/QH15,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47/2024/QH15,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58/2024/QH15,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71/2025/QH15,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84/2025/QH15,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 và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95/2025/QH15;</w:t>
      </w:r>
    </w:p>
    <w:p w14:paraId="4A71001F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67/2025/QH15;</w:t>
      </w:r>
    </w:p>
    <w:p w14:paraId="6C1E783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254/2025/QH15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, chính sách tháo g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khó khăn, vư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trong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thi hành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đai;</w:t>
      </w:r>
    </w:p>
    <w:p w14:paraId="67F6660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230/2025/NĐ-CP ngày 19 tháng 8 năm 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2025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các trư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p khác đư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mi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theo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2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157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đai năm 2024;</w:t>
      </w:r>
    </w:p>
    <w:p w14:paraId="72B47C7E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320/2025/NĐ-CP ngày 15 tháng 12 năm 2025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pháp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c, hư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thi hành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p;</w:t>
      </w:r>
    </w:p>
    <w:p w14:paraId="1118F43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50/2026/NĐ-CP ngày 31 tháng 01 năm 2026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254/2025/QH15 ngày 11 tháng 12 năm 2025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q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, chính sách tháo g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khó khăn, vư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trong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thi hành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đai v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t;</w:t>
      </w:r>
    </w:p>
    <w:p w14:paraId="055CF6E9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 ngày 30 tháng 6 năm 2025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A790CD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c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0EE0617" w14:textId="0071781B" w:rsidR="00864083" w:rsidRPr="00211829" w:rsidRDefault="0071523E" w:rsidP="003B002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Thông tư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80/2021/TT-BTC ngày 29 tháng 9 năm 2021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hư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và Ngh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="003B002E"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126/2020/NĐ-CP ngày 19 tháng 10 năm 2020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44A50C8" w14:textId="77777777" w:rsidR="003B002E" w:rsidRPr="00211829" w:rsidRDefault="003B002E" w:rsidP="003B002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6CA1D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80/2021/TT-BTC ngày 29 tháng 9 năm 2021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thi hành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và Ngh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126/2020/NĐ-CP ngày 19 tháng 10 năm 2020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lý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40893D6C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59 như sau:</w:t>
      </w:r>
    </w:p>
    <w:p w14:paraId="6C06385D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59.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năm, gi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trư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cơ quan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có th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, gi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m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45AD49B6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hàng năm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p, lâm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p, nuôi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làm mu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mà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thiên tai,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230/2025/NĐ-CP ngày 19 tháng 8 năm 202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5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các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khác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157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đai năm 2024, bao 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3F1A3C2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01/MGTH ban hành kèm theo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I Thông tư này;</w:t>
      </w:r>
    </w:p>
    <w:p w14:paraId="08241EC0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b) Biên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xác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giá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02/MGTH ban hành kèm theo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I T</w:t>
      </w:r>
      <w:bookmarkStart w:id="0" w:name="_GoBack"/>
      <w:bookmarkEnd w:id="0"/>
      <w:r w:rsidRPr="003B002E">
        <w:rPr>
          <w:rFonts w:ascii="Arial" w:hAnsi="Arial" w:cs="Arial"/>
          <w:color w:val="000000" w:themeColor="text1"/>
          <w:sz w:val="20"/>
          <w:szCs w:val="20"/>
        </w:rPr>
        <w:t>hông tư này (không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chính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CBC53FC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lastRenderedPageBreak/>
        <w:t>Cơ quan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giá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là cơ quan tài chính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các cơ quan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xác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giá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FEED925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hàng hoá: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(ch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thư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nh)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và cơ quan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pháp lý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tính chính xác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trong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thư giám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90D17D0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(trong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có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66576951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7031B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hàng năm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t, kinh doanh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(tr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vào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p, lâm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p, nuôi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làm mu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i) nhưng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thiên tai,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do tai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kháng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30/2025/NĐ-CP, bao 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52F81BB" w14:textId="77D6FCF4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01/MGTH ban hành kèm theo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I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Thông tư này;</w:t>
      </w:r>
    </w:p>
    <w:p w14:paraId="6A90DDBD" w14:textId="5E44289D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kinh doanh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đăng ký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B002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giao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kinh doanh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29790B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96F23B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cư trú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pháp trên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bàn các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trung ương và các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bàn có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hành chính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chính sách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núi, vùng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khó khăn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230/2025/NĐ-CP, bao 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8D774B0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01/MGTH ban hành kèm theo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I Thông tư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4CA440B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(%)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bình quân năm và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có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làm vi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xuyên bình quân năm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230/2025/NĐ-CP.</w:t>
      </w:r>
    </w:p>
    <w:p w14:paraId="54531F2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các thông tin cung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nêu trên;</w:t>
      </w:r>
    </w:p>
    <w:p w14:paraId="13DE9B8C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01F9D0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hàng năm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kinh doanh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230/2025/NĐ-CP, bao 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CD983FF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01/MGTH ban hành kèm theo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I Thông tư này;</w:t>
      </w:r>
    </w:p>
    <w:p w14:paraId="0FA9828A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(%)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18/2018/TT-BLĐTBXH ngày 30 tháng 10 năm 2018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các Thông tư liên quan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(%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)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năm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230/2025/NĐ-CP.</w:t>
      </w:r>
    </w:p>
    <w:p w14:paraId="7501A4BF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thông tin cung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nêu trên;</w:t>
      </w:r>
    </w:p>
    <w:p w14:paraId="5B1A3191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cho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6EC5D06" w14:textId="455CFD7A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lastRenderedPageBreak/>
        <w:t>5.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này do cơ quan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9338CD" w:rsidRPr="009338CD">
        <w:rPr>
          <w:rFonts w:ascii="Arial" w:hAnsi="Arial" w:cs="Arial"/>
          <w:color w:val="000000" w:themeColor="text1"/>
          <w:sz w:val="20"/>
          <w:szCs w:val="20"/>
        </w:rPr>
        <w:t>tích hợp</w:t>
      </w:r>
      <w:r w:rsidR="00CF2F0D" w:rsidRPr="00CF2F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gia và Cơ quan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khai thác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này thì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không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các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này khi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không khai thác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thông tin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thông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in khai thác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không chính xác thì cơ quan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 thành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thông tin trong các Cơ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04B95E6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82 như sau:</w:t>
      </w:r>
    </w:p>
    <w:p w14:paraId="5666C01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“2.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kinh phí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thu:</w:t>
      </w:r>
    </w:p>
    <w:p w14:paraId="3EE37703" w14:textId="53B5841A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kinh phí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% trên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</w:t>
      </w:r>
      <w:r w:rsidR="00D3144B" w:rsidRPr="00D3144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 khác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thu.</w:t>
      </w:r>
    </w:p>
    <w:p w14:paraId="37598D5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Giao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kinh phí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 phù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bàn.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kinh phí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 bình quân không vư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quá 6% trên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hòa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phương. 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i dung chi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thu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trí ngoài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chi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lý hành chính,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giao trong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toán chi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018F7DD3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8DAC4DE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a) Thay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02/TNDN ban hành kèm theo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80/2021/TT-BTC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02/TNDN ban hành kèm theo Thông tư này.</w:t>
      </w:r>
    </w:p>
    <w:p w14:paraId="7BBF61D8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05/TNDN ban hành kèm theo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80/2021/TT-BTC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05/TNDN ban hành kèm theo Thông tư này.</w:t>
      </w:r>
    </w:p>
    <w:p w14:paraId="7819A81B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6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0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80/2021/TT-BTC.</w:t>
      </w:r>
    </w:p>
    <w:p w14:paraId="0B5311C4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2.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CDD4CB8" w14:textId="1D9BA1AA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i gian </w:t>
      </w:r>
      <w:r w:rsidR="003B002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chưa ban hành trình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đai, trong đó có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minh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22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50/2026/NĐ-CP ngày 31 tháng 01 năm 2026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254/2025/QH15 ngày 11 tháng 12 năm 2025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, chính sách tháo g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khó khăn, vư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 hành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đai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t thì </w:t>
      </w:r>
      <w:r w:rsidR="003B002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59,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60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80/2021/TT-BTC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0D4F162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b2, b3 và b4 kho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320/2025/NĐ-CP ngày 15/12/2025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có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đã ký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320/2025/NĐ-CP có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 hành, doanh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khai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05/TNDN ban hành kèm theo Thông tư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80/2021/TT-BTC ngày 29/9/2021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Tài chính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3CFB78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3. Đi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287ED47" w14:textId="421DAACF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1.</w:t>
      </w:r>
      <w:r w:rsidR="006B007F" w:rsidRPr="006B00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Thông tư này có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B007F">
        <w:rPr>
          <w:rFonts w:ascii="Arial" w:hAnsi="Arial" w:cs="Arial"/>
          <w:color w:val="000000" w:themeColor="text1"/>
          <w:sz w:val="20"/>
          <w:szCs w:val="20"/>
        </w:rPr>
        <w:t>ngày 17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tháng 3 năm 2026.</w:t>
      </w:r>
    </w:p>
    <w:p w14:paraId="43A6AFF5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2. Trong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6CB92ACF" w14:textId="48722733" w:rsidR="00864083" w:rsidRPr="00BF7483" w:rsidRDefault="0071523E" w:rsidP="003B002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3. Trong quá trình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có khó khăn, vư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n.</w:t>
      </w:r>
      <w:r w:rsidR="00BF7483" w:rsidRPr="00BF7483">
        <w:rPr>
          <w:rFonts w:ascii="Arial" w:hAnsi="Arial" w:cs="Arial"/>
          <w:color w:val="000000" w:themeColor="text1"/>
          <w:sz w:val="20"/>
          <w:szCs w:val="20"/>
        </w:rPr>
        <w:t>/.</w:t>
      </w:r>
    </w:p>
    <w:p w14:paraId="28559F99" w14:textId="77777777" w:rsidR="003B002E" w:rsidRPr="00BF7483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B002E" w:rsidRPr="003B002E" w14:paraId="5E9B213F" w14:textId="77777777" w:rsidTr="00257D50">
        <w:tc>
          <w:tcPr>
            <w:tcW w:w="2500" w:type="pct"/>
          </w:tcPr>
          <w:p w14:paraId="6864A15F" w14:textId="3AB5F817" w:rsidR="00864083" w:rsidRPr="003B002E" w:rsidRDefault="0071523E" w:rsidP="003B002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3B002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3B002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B002E" w:rsidRPr="0021182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3B002E" w:rsidRPr="002118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 </w:t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Đảng;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phủ: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Đảng và các Ban của Đảng;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Hội đồng Dân tộc;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Kinh tế và Tài chính;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Toà án nhân dân tối cao;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đoàn thể;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Thuế, Sở Tài chính các tỉnh, thành phố trực thuộc trung ương;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Kho bạc Nhà nước các khu vực;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Cục Kiểm tra văn bản và Quản lý xử lý vi phạm hành chính, Bộ Tư pháp;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Chính phủ;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sở dữ liệu quốc gia về pháp luật;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Bộ Tài chính;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vị thuộc Bộ Tài chính;</w:t>
            </w:r>
            <w:r w:rsid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B002E"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CT (CS 160b)</w:t>
            </w:r>
          </w:p>
        </w:tc>
        <w:tc>
          <w:tcPr>
            <w:tcW w:w="2500" w:type="pct"/>
          </w:tcPr>
          <w:p w14:paraId="778FB18B" w14:textId="5C1AE664" w:rsidR="00864083" w:rsidRPr="003B002E" w:rsidRDefault="0071523E" w:rsidP="003B002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Anh</w:t>
            </w:r>
            <w:r w:rsid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039938F6" w14:textId="41309043" w:rsidR="00864083" w:rsidRPr="00211829" w:rsidRDefault="00864083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B9DFFF" w14:textId="77777777" w:rsidR="003B002E" w:rsidRPr="00211829" w:rsidRDefault="003B002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3B002E" w:rsidRPr="00211829" w:rsidSect="003B002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1"/>
        <w:gridCol w:w="4350"/>
      </w:tblGrid>
      <w:tr w:rsidR="003B002E" w14:paraId="35CE2C3F" w14:textId="77777777" w:rsidTr="00257D50">
        <w:tc>
          <w:tcPr>
            <w:tcW w:w="2589" w:type="pct"/>
            <w:tcBorders>
              <w:top w:val="nil"/>
              <w:left w:val="nil"/>
              <w:bottom w:val="nil"/>
            </w:tcBorders>
          </w:tcPr>
          <w:p w14:paraId="117F66C8" w14:textId="77777777" w:rsidR="003B002E" w:rsidRPr="00211829" w:rsidRDefault="003B002E" w:rsidP="003B002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pct"/>
          </w:tcPr>
          <w:p w14:paraId="5F96C346" w14:textId="071EDD03" w:rsidR="003B002E" w:rsidRPr="00211829" w:rsidRDefault="003B002E" w:rsidP="003B002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số: 02/TNDN</w:t>
            </w:r>
            <w:r w:rsidRPr="002118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(Ban hành kèm theo Thông tư số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21/2026/TT-BTC ngày 17 tháng 3 năm 2026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của Bộ trưởng Bộ Tài chính)</w:t>
            </w:r>
          </w:p>
        </w:tc>
      </w:tr>
    </w:tbl>
    <w:p w14:paraId="600852F3" w14:textId="77777777" w:rsidR="003B002E" w:rsidRPr="00211829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217FBF" w14:textId="5B3110D2" w:rsidR="00864083" w:rsidRPr="00211829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3B002E" w:rsidRPr="0021182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3B002E" w:rsidRPr="0021182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3B002E" w:rsidRPr="00211829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</w:p>
    <w:p w14:paraId="042E9496" w14:textId="77777777" w:rsidR="00864083" w:rsidRPr="003B002E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KHAI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A06FBF0" w14:textId="77777777" w:rsidR="00864083" w:rsidRPr="00211829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i ho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theo t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l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 phát sinh)</w:t>
      </w:r>
    </w:p>
    <w:p w14:paraId="533C802C" w14:textId="77777777" w:rsidR="003B002E" w:rsidRPr="00211829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FBD791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□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phương pháp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trên doanh thu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TNDN có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089A40E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□ Cơ quan thi hành án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bán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giá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khác là tài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thi hành án</w:t>
      </w:r>
    </w:p>
    <w:p w14:paraId="3B67606A" w14:textId="461CF1FD" w:rsidR="00864083" w:rsidRPr="003B002E" w:rsidRDefault="003B002E" w:rsidP="003B002E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[01]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Kỳ tính thuế: Từng lần phát sinh ngày.........tháng........năm...........</w:t>
      </w:r>
    </w:p>
    <w:p w14:paraId="07EA863F" w14:textId="4C9A42C5" w:rsidR="00864083" w:rsidRPr="003B002E" w:rsidRDefault="0071523E" w:rsidP="003B002E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[02]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□</w:t>
      </w:r>
      <w:r w:rsidR="003B002E" w:rsidRPr="00211829">
        <w:rPr>
          <w:rFonts w:ascii="Arial" w:hAnsi="Arial" w:cs="Arial"/>
          <w:color w:val="000000" w:themeColor="text1"/>
          <w:sz w:val="20"/>
          <w:szCs w:val="20"/>
        </w:rPr>
        <w:tab/>
      </w:r>
      <w:r w:rsidR="003B002E" w:rsidRPr="00211829">
        <w:rPr>
          <w:rFonts w:ascii="Arial" w:hAnsi="Arial" w:cs="Arial"/>
          <w:color w:val="000000" w:themeColor="text1"/>
          <w:sz w:val="20"/>
          <w:szCs w:val="20"/>
        </w:rPr>
        <w:tab/>
      </w:r>
      <w:r w:rsidR="003B002E" w:rsidRPr="00211829">
        <w:rPr>
          <w:rFonts w:ascii="Arial" w:hAnsi="Arial" w:cs="Arial"/>
          <w:color w:val="000000" w:themeColor="text1"/>
          <w:sz w:val="20"/>
          <w:szCs w:val="20"/>
        </w:rPr>
        <w:tab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[03]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:...</w:t>
      </w:r>
    </w:p>
    <w:p w14:paraId="4B2CE59E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Bên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471CA39" w14:textId="62028EDE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[04]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</w:t>
      </w:r>
    </w:p>
    <w:p w14:paraId="6C67AECB" w14:textId="3053B5CB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[05]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</w:t>
      </w:r>
    </w:p>
    <w:p w14:paraId="60A98387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Bên nh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227AD87" w14:textId="7B112953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[06]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c/cá nhân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</w:t>
      </w:r>
    </w:p>
    <w:p w14:paraId="27390BEE" w14:textId="280CD54D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</w:t>
      </w: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7]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/s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danh cá nhân/gi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 danh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cá nhân: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</w:t>
      </w:r>
    </w:p>
    <w:p w14:paraId="528B74EA" w14:textId="6C8FA0BA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[08]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Xã/phư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khu: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>..............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</w:t>
      </w:r>
    </w:p>
    <w:p w14:paraId="4B110B7A" w14:textId="070D585F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[09]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ng: 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>[09a]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</w:p>
    <w:p w14:paraId="67F21252" w14:textId="1FDC496A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[09b]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Xã/phư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khu: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[09c]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</w:t>
      </w:r>
    </w:p>
    <w:p w14:paraId="4CB5CD2C" w14:textId="533BDCCD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Theo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 khác: 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 .... ngày .... tháng .... năm .... có công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UBND xã/phư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khu ho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văn phòng công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xác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ngày...tháng... năm....</w:t>
      </w:r>
    </w:p>
    <w:p w14:paraId="758CF4B6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Cơ quan thi hành án, t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 có th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bán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 giá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khác là tài s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m thi hành án</w:t>
      </w:r>
    </w:p>
    <w:p w14:paraId="3B94E141" w14:textId="48266ECF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[10]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Tên cơ quan/t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</w:t>
      </w:r>
    </w:p>
    <w:p w14:paraId="59924D42" w14:textId="3282BBE5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[11]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cơ quan/t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</w:t>
      </w:r>
    </w:p>
    <w:p w14:paraId="5CAAC43A" w14:textId="2C10048C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[12]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...................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Xã/phư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c khu: 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................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</w:t>
      </w:r>
    </w:p>
    <w:p w14:paraId="1E36CA73" w14:textId="7D8B38F6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[13]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Tên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lý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(n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</w:t>
      </w:r>
    </w:p>
    <w:p w14:paraId="37016E67" w14:textId="611527DB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[14]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</w:t>
      </w:r>
    </w:p>
    <w:p w14:paraId="4CF529FA" w14:textId="672E2B66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[15]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lý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</w:t>
      </w:r>
    </w:p>
    <w:p w14:paraId="783778BE" w14:textId="7143CC15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n: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Vi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Nam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4"/>
        <w:gridCol w:w="6729"/>
        <w:gridCol w:w="1014"/>
        <w:gridCol w:w="699"/>
      </w:tblGrid>
      <w:tr w:rsidR="003B002E" w:rsidRPr="003B002E" w14:paraId="53926566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3200E6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FD474BA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48F0D7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ch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037AFF" w14:textId="23218518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1520F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ố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3B002E" w:rsidRPr="003B002E" w14:paraId="2CB2E94D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248CEF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E381266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826AFE4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3699B1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(4)</w:t>
            </w:r>
          </w:p>
        </w:tc>
      </w:tr>
      <w:tr w:rsidR="003B002E" w:rsidRPr="003B002E" w14:paraId="3E6A0C1E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6AD0C2E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7B93F6B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 thu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chuy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n, tài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khác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8C2A544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[16]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4B00CA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286A13A2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55FA05C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7AB8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Chi phí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chuy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n, tài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khác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9B7C0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[17]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F13425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6E7F8BA6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87FFD6E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12A14B1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Giá v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c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a b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n, tài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khác chuy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66898D4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[18]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5BBBE47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2E3A112D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E1D41B0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6DC37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phí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bù thi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4EFC355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[19]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256254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29E627BD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4B1AAF7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EF88160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phí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bù thi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hoa màu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E8809D5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[20]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EDEE93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7AD7D87A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D8F492F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F793DF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phí c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o san l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m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F0BF55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[21]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E8FA51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1144EB65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598C59E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0E21DA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phí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xây d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k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D97A485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[22]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8F65E5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7B051C3A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C07361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B202BD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phí khác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720015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[23]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DF9FE1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076BE6D5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E18E4B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C0A4260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Thu 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chuy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n, tài 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khác ([24]=[16]-[17])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A1422D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[24]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74A85E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0DEA7CA8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83343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176528F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TNDN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49FD1C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[25]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7FE7BF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5AE0F417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7BCEC94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3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5CCE8C5" w14:textId="650DE08D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TNDN ph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n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 ([26]=[24] </w:t>
            </w:r>
            <w:r w:rsidR="003B002E"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[25])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0AA2E9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[26]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189A36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AF5877" w14:textId="3ABA0648" w:rsidR="00864083" w:rsidRPr="004D11E1" w:rsidRDefault="0071523E" w:rsidP="003B002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Tôi cam đoan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khai trên là đúng và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u trách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="003B002E"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đã khai./.</w:t>
      </w:r>
    </w:p>
    <w:p w14:paraId="62D98566" w14:textId="77777777" w:rsidR="003B002E" w:rsidRPr="004D11E1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6152"/>
      </w:tblGrid>
      <w:tr w:rsidR="003B002E" w14:paraId="3CFF45A8" w14:textId="77777777" w:rsidTr="00257D50">
        <w:tc>
          <w:tcPr>
            <w:tcW w:w="1592" w:type="pct"/>
          </w:tcPr>
          <w:p w14:paraId="35F69D68" w14:textId="2EDE288F" w:rsidR="003B002E" w:rsidRPr="004D11E1" w:rsidRDefault="003B002E" w:rsidP="003B002E">
            <w:pPr>
              <w:adjustRightInd w:val="0"/>
              <w:snapToGrid w:val="0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11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NHÂN VIÊN ĐẠI LÝ THUẾ</w:t>
            </w:r>
            <w:r w:rsidRPr="004D11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Họ và tên: ........................</w:t>
            </w:r>
            <w:r w:rsidRPr="004D11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Chứng chỉ hành nghề số: ...</w:t>
            </w:r>
          </w:p>
        </w:tc>
        <w:tc>
          <w:tcPr>
            <w:tcW w:w="3408" w:type="pct"/>
          </w:tcPr>
          <w:p w14:paraId="51016151" w14:textId="56766B79" w:rsidR="003B002E" w:rsidRPr="004D11E1" w:rsidRDefault="003B002E" w:rsidP="003B002E">
            <w:pPr>
              <w:adjustRightInd w:val="0"/>
              <w:snapToGrid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..., ngày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 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......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NỘP THUẾ hoặc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HỢP PHÁP CỦA NGƯỜI NỘP THUẾ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ký, ghi rõ họ tên; chức vụ và đóng dấu (nếu có)/Ký điện tử)</w:t>
            </w:r>
          </w:p>
        </w:tc>
      </w:tr>
    </w:tbl>
    <w:p w14:paraId="14E31686" w14:textId="77777777" w:rsidR="003B002E" w:rsidRPr="004D11E1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6D0ED65" w14:textId="04EC29F7" w:rsidR="00864083" w:rsidRPr="004D11E1" w:rsidRDefault="00864083" w:rsidP="003B002E">
      <w:pPr>
        <w:adjustRightInd w:val="0"/>
        <w:snapToGrid w:val="0"/>
        <w:spacing w:after="120" w:line="240" w:lineRule="auto"/>
        <w:ind w:firstLine="72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8E2AEF" w14:textId="77777777" w:rsidR="003B002E" w:rsidRPr="004D11E1" w:rsidRDefault="003B002E" w:rsidP="002D6054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</w:rPr>
        <w:sectPr w:rsidR="003B002E" w:rsidRPr="004D11E1" w:rsidSect="003B002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1"/>
        <w:gridCol w:w="4350"/>
      </w:tblGrid>
      <w:tr w:rsidR="003B002E" w14:paraId="6C772B18" w14:textId="77777777" w:rsidTr="00257D50">
        <w:tc>
          <w:tcPr>
            <w:tcW w:w="2589" w:type="pct"/>
            <w:tcBorders>
              <w:top w:val="nil"/>
              <w:left w:val="nil"/>
              <w:bottom w:val="nil"/>
            </w:tcBorders>
          </w:tcPr>
          <w:p w14:paraId="4D116F6A" w14:textId="77777777" w:rsidR="003B002E" w:rsidRPr="004D11E1" w:rsidRDefault="003B002E" w:rsidP="002D605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pct"/>
          </w:tcPr>
          <w:p w14:paraId="30EC1890" w14:textId="3106EC88" w:rsidR="003B002E" w:rsidRPr="004D11E1" w:rsidRDefault="003B002E" w:rsidP="003B002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số: 0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/TNDN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(Ban hành kèm theo Thông tư số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21/2026/TT-BTC ngày 17 tháng 3 năm 2026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của Bộ trưởng Bộ Tài chính)</w:t>
            </w:r>
          </w:p>
        </w:tc>
      </w:tr>
    </w:tbl>
    <w:p w14:paraId="34D94D29" w14:textId="77777777" w:rsidR="003B002E" w:rsidRPr="004D11E1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FF6A9F" w14:textId="23808250" w:rsidR="00864083" w:rsidRPr="004D11E1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br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3B002E" w:rsidRPr="004D11E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3B002E" w:rsidRPr="004D11E1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_________________________</w:t>
      </w:r>
    </w:p>
    <w:p w14:paraId="63AA439B" w14:textId="77777777" w:rsidR="00864083" w:rsidRPr="003B002E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KHAI THU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DOANH NGHI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46342EE" w14:textId="77777777" w:rsidR="003B002E" w:rsidRPr="004D11E1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(Áp d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ng đ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i v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i ho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t đ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ng chuy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n như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ợ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ng v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n c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a doanh nghi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p nư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E906A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 ngoài) </w:t>
      </w:r>
    </w:p>
    <w:p w14:paraId="15F0763D" w14:textId="6E0F835A" w:rsidR="00864083" w:rsidRPr="004D11E1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[01]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phát sinh ngày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44F4CF56" w14:textId="0ED80849" w:rsidR="00864083" w:rsidRPr="004D11E1" w:rsidRDefault="0071523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[02]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□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ab/>
      </w:r>
      <w:r w:rsidR="003B002E" w:rsidRPr="004D11E1">
        <w:rPr>
          <w:rFonts w:ascii="Arial" w:hAnsi="Arial" w:cs="Arial"/>
          <w:color w:val="000000" w:themeColor="text1"/>
          <w:sz w:val="20"/>
          <w:szCs w:val="20"/>
        </w:rPr>
        <w:tab/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[03]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B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sung l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:...</w:t>
      </w:r>
    </w:p>
    <w:p w14:paraId="118AD519" w14:textId="77777777" w:rsidR="003B002E" w:rsidRPr="004D11E1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C2F386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Bên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805615B" w14:textId="18E73E68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[04]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có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</w:t>
      </w:r>
    </w:p>
    <w:p w14:paraId="21749556" w14:textId="71ABF569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[05]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ch: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</w:t>
      </w:r>
    </w:p>
    <w:p w14:paraId="1091BD57" w14:textId="2264E7D4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[06]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chính: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</w:t>
      </w:r>
    </w:p>
    <w:p w14:paraId="421975D1" w14:textId="77777777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Bên nh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5C9AA24" w14:textId="51C2EC04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[07]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c/cá nhân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ng: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</w:t>
      </w:r>
    </w:p>
    <w:p w14:paraId="04911168" w14:textId="6BCF0769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[08]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ch: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</w:t>
      </w:r>
    </w:p>
    <w:p w14:paraId="4C556C97" w14:textId="40FE323C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bCs/>
          <w:color w:val="000000" w:themeColor="text1"/>
          <w:sz w:val="20"/>
          <w:szCs w:val="20"/>
        </w:rPr>
        <w:t>[09]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chính: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</w:t>
      </w:r>
    </w:p>
    <w:p w14:paraId="0433C456" w14:textId="1CE55D1E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[10]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</w:t>
      </w:r>
    </w:p>
    <w:p w14:paraId="50FFC4CC" w14:textId="35614130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[11]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Tên 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i lý th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(n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7F2DB0BB" w14:textId="56F9126B" w:rsidR="00864083" w:rsidRPr="004D11E1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[12]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: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</w:t>
      </w:r>
    </w:p>
    <w:p w14:paraId="16E1E1FC" w14:textId="5F8593B1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[13]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i lý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="00C00083" w:rsidRPr="004D11E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.........................................</w:t>
      </w:r>
    </w:p>
    <w:p w14:paraId="72A73153" w14:textId="7F7321EE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[14]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Tên doanh nghi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p có v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ng:</w:t>
      </w:r>
      <w:r w:rsidR="00C00083" w:rsidRPr="00C00083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</w:t>
      </w:r>
    </w:p>
    <w:p w14:paraId="131C2083" w14:textId="32821080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[15]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</w:t>
      </w:r>
    </w:p>
    <w:p w14:paraId="3917EFAC" w14:textId="79E8006C" w:rsidR="00864083" w:rsidRPr="00C00083" w:rsidRDefault="0071523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b/>
          <w:color w:val="000000" w:themeColor="text1"/>
          <w:sz w:val="20"/>
          <w:szCs w:val="20"/>
        </w:rPr>
        <w:t>[16]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ng: 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tháng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 xml:space="preserve"> ............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năm</w:t>
      </w:r>
      <w:r w:rsidR="00C00083" w:rsidRPr="00C00083">
        <w:rPr>
          <w:rFonts w:ascii="Arial" w:hAnsi="Arial" w:cs="Arial"/>
          <w:color w:val="000000" w:themeColor="text1"/>
          <w:sz w:val="20"/>
          <w:szCs w:val="20"/>
        </w:rPr>
        <w:t xml:space="preserve"> .........</w:t>
      </w:r>
    </w:p>
    <w:p w14:paraId="0272BC19" w14:textId="141408F6" w:rsidR="00864083" w:rsidRPr="003B002E" w:rsidRDefault="0071523E" w:rsidP="003B002E">
      <w:pPr>
        <w:adjustRightInd w:val="0"/>
        <w:snapToGrid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n: Đ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ng Vi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i/>
          <w:color w:val="000000" w:themeColor="text1"/>
          <w:sz w:val="20"/>
          <w:szCs w:val="20"/>
        </w:rPr>
        <w:t>t Nam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3"/>
        <w:gridCol w:w="6917"/>
        <w:gridCol w:w="890"/>
        <w:gridCol w:w="636"/>
      </w:tblGrid>
      <w:tr w:rsidR="003B002E" w:rsidRPr="003B002E" w14:paraId="4345FF95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A6BE56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E0A60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4D9779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ch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B8D811" w14:textId="25660272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1520F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ố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3B002E" w:rsidRPr="003B002E" w14:paraId="74F30FD0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6AD742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D100E6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1C7690" w14:textId="77777777" w:rsidR="00864083" w:rsidRPr="00CD42B3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D42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D214A" w14:textId="77777777" w:rsidR="00864083" w:rsidRPr="00CD42B3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D42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(4)</w:t>
            </w:r>
          </w:p>
        </w:tc>
      </w:tr>
      <w:tr w:rsidR="003B002E" w:rsidRPr="003B002E" w14:paraId="46A11FE8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B2890A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3FFC73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 thu tính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 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doanh nghi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chuy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phát sinh 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Vi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C4D457" w14:textId="124A5D97" w:rsidR="00864083" w:rsidRPr="00211829" w:rsidRDefault="003B002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[17]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30483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22A72D0C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51ED1C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021F3F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tính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TNDN (%)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755FB9" w14:textId="36F26DAA" w:rsidR="00864083" w:rsidRPr="00211829" w:rsidRDefault="003B002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[18]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E5F9A6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412AED2D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77F3BD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CE4CFC" w14:textId="58108EDE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 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doanh nghi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ph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n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</w:t>
            </w:r>
            <w:r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[19]=</w:t>
            </w:r>
            <w:r w:rsidR="003B002E"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3B002E"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]x[</w:t>
            </w:r>
            <w:r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18]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6C49A5" w14:textId="5FE53D5A" w:rsidR="00864083" w:rsidRPr="00211829" w:rsidRDefault="003B002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[19]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523793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06327356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D9AAF8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0BAD9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 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doanh 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mi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 gi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m theo 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8CC6A2" w14:textId="6FFA9163" w:rsidR="00864083" w:rsidRPr="00211829" w:rsidRDefault="003B002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[</w:t>
            </w: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AD30B5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002E" w:rsidRPr="003B002E" w14:paraId="40D15090" w14:textId="77777777" w:rsidTr="00257D50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7F6D14" w14:textId="7777777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887301" w14:textId="41875D27" w:rsidR="00864083" w:rsidRPr="003B002E" w:rsidRDefault="0071523E" w:rsidP="003B002E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 nh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doanh nghi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p ph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i n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B0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</w:t>
            </w:r>
            <w:r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[21]=[19]-[20</w:t>
            </w:r>
            <w:r w:rsidR="003B002E" w:rsidRPr="003B0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B0C5EE" w14:textId="3EB9E8D4" w:rsidR="00864083" w:rsidRPr="00211829" w:rsidRDefault="003B002E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118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[21]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09C4" w14:textId="77777777" w:rsidR="00864083" w:rsidRPr="003B002E" w:rsidRDefault="00864083" w:rsidP="003B002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0C6C2B" w14:textId="77777777" w:rsidR="00864083" w:rsidRPr="00C00083" w:rsidRDefault="0071523E" w:rsidP="00C0008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002E">
        <w:rPr>
          <w:rFonts w:ascii="Arial" w:hAnsi="Arial" w:cs="Arial"/>
          <w:color w:val="000000" w:themeColor="text1"/>
          <w:sz w:val="20"/>
          <w:szCs w:val="20"/>
        </w:rPr>
        <w:t>Tôi cam đoan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khai trên là đúng và ch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B002E">
        <w:rPr>
          <w:rFonts w:ascii="Arial" w:hAnsi="Arial" w:cs="Arial"/>
          <w:color w:val="000000" w:themeColor="text1"/>
          <w:sz w:val="20"/>
          <w:szCs w:val="20"/>
        </w:rPr>
        <w:t>u đã khai./.</w:t>
      </w:r>
    </w:p>
    <w:p w14:paraId="32E527EC" w14:textId="77777777" w:rsidR="003B002E" w:rsidRPr="00C00083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5874"/>
      </w:tblGrid>
      <w:tr w:rsidR="003B002E" w14:paraId="289CBD40" w14:textId="77777777" w:rsidTr="00257D50">
        <w:tc>
          <w:tcPr>
            <w:tcW w:w="1746" w:type="pct"/>
          </w:tcPr>
          <w:p w14:paraId="23CD071C" w14:textId="77777777" w:rsidR="003B002E" w:rsidRPr="004D11E1" w:rsidRDefault="003B002E" w:rsidP="002D6054">
            <w:pPr>
              <w:adjustRightInd w:val="0"/>
              <w:snapToGrid w:val="0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00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D11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NHÂN VIÊN ĐẠI LÝ THUẾ</w:t>
            </w:r>
            <w:r w:rsidRPr="004D11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Họ và tên: ........................</w:t>
            </w:r>
            <w:r w:rsidRPr="004D11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Chứng chỉ hành nghề số: ...</w:t>
            </w:r>
          </w:p>
        </w:tc>
        <w:tc>
          <w:tcPr>
            <w:tcW w:w="3254" w:type="pct"/>
          </w:tcPr>
          <w:p w14:paraId="0B9685EE" w14:textId="4482AA0F" w:rsidR="003B002E" w:rsidRPr="004D11E1" w:rsidRDefault="003B002E" w:rsidP="002D6054">
            <w:pPr>
              <w:adjustRightInd w:val="0"/>
              <w:snapToGrid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..., ngày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 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...... </w:t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</w:t>
            </w:r>
            <w:r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NỘP THUẾ hoặc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HỢP PHÁP CỦA NGƯỜI NỘP THUẾ</w:t>
            </w:r>
            <w:r w:rsidRPr="004D11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(Chữ ký, ghi rõ họ tên; chức vụ và đóng dấu (nếu </w:t>
            </w:r>
            <w:r w:rsidR="00C00083" w:rsidRPr="004D11E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3B002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có)/Ký điện tử)</w:t>
            </w:r>
          </w:p>
        </w:tc>
      </w:tr>
    </w:tbl>
    <w:p w14:paraId="7DFEDAB8" w14:textId="77777777" w:rsidR="003B002E" w:rsidRPr="004D11E1" w:rsidRDefault="003B002E" w:rsidP="003B00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432437" w14:textId="77777777" w:rsidR="003B002E" w:rsidRPr="004D11E1" w:rsidRDefault="003B002E" w:rsidP="003B002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B002E" w:rsidRPr="004D11E1" w:rsidSect="003B002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CEB7" w14:textId="77777777" w:rsidR="0071523E" w:rsidRDefault="0071523E">
      <w:pPr>
        <w:spacing w:after="0" w:line="240" w:lineRule="auto"/>
      </w:pPr>
      <w:r>
        <w:separator/>
      </w:r>
    </w:p>
  </w:endnote>
  <w:endnote w:type="continuationSeparator" w:id="0">
    <w:p w14:paraId="4179995D" w14:textId="77777777" w:rsidR="0071523E" w:rsidRDefault="0071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AC63" w14:textId="77777777" w:rsidR="0071523E" w:rsidRDefault="0071523E">
      <w:pPr>
        <w:spacing w:after="0" w:line="240" w:lineRule="auto"/>
      </w:pPr>
      <w:r>
        <w:separator/>
      </w:r>
    </w:p>
  </w:footnote>
  <w:footnote w:type="continuationSeparator" w:id="0">
    <w:p w14:paraId="3367348D" w14:textId="77777777" w:rsidR="0071523E" w:rsidRDefault="00715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3"/>
    <w:rsid w:val="000A7A55"/>
    <w:rsid w:val="001520F7"/>
    <w:rsid w:val="001C15BE"/>
    <w:rsid w:val="001F70C8"/>
    <w:rsid w:val="00211829"/>
    <w:rsid w:val="00257D50"/>
    <w:rsid w:val="00304CD4"/>
    <w:rsid w:val="003B002E"/>
    <w:rsid w:val="003B6979"/>
    <w:rsid w:val="00492172"/>
    <w:rsid w:val="004D11E1"/>
    <w:rsid w:val="006B007F"/>
    <w:rsid w:val="0071523E"/>
    <w:rsid w:val="00864083"/>
    <w:rsid w:val="008765AD"/>
    <w:rsid w:val="009338CD"/>
    <w:rsid w:val="0093705D"/>
    <w:rsid w:val="00BF7483"/>
    <w:rsid w:val="00C00083"/>
    <w:rsid w:val="00C40B0D"/>
    <w:rsid w:val="00CD42B3"/>
    <w:rsid w:val="00CF2F0D"/>
    <w:rsid w:val="00D3144B"/>
    <w:rsid w:val="00E906AC"/>
    <w:rsid w:val="00F46CA7"/>
    <w:rsid w:val="00F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D287"/>
  <w15:docId w15:val="{9880BDCA-8DFC-45E6-8B03-A649093D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2E"/>
  </w:style>
  <w:style w:type="paragraph" w:styleId="Footer">
    <w:name w:val="footer"/>
    <w:basedOn w:val="Normal"/>
    <w:link w:val="FooterChar"/>
    <w:uiPriority w:val="99"/>
    <w:unhideWhenUsed/>
    <w:rsid w:val="003B0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2E"/>
  </w:style>
  <w:style w:type="table" w:styleId="TableGrid">
    <w:name w:val="Table Grid"/>
    <w:basedOn w:val="TableNormal"/>
    <w:uiPriority w:val="39"/>
    <w:rsid w:val="003B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18</cp:revision>
  <dcterms:created xsi:type="dcterms:W3CDTF">2026-03-18T03:52:00Z</dcterms:created>
  <dcterms:modified xsi:type="dcterms:W3CDTF">2026-03-19T01:17:00Z</dcterms:modified>
</cp:coreProperties>
</file>