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3E680F" w:rsidRPr="003E680F" w:rsidTr="003E680F">
        <w:tc>
          <w:tcPr>
            <w:tcW w:w="2498" w:type="pct"/>
          </w:tcPr>
          <w:p w:rsid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Ộ</w:t>
            </w:r>
            <w:r w:rsidRPr="003E680F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TÀI CHÍNH</w:t>
            </w:r>
          </w:p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3E680F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_______</w:t>
            </w:r>
          </w:p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680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Số: 61/2024/TT-BTC</w:t>
            </w:r>
          </w:p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502" w:type="pct"/>
          </w:tcPr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CỘNG H</w:t>
            </w:r>
            <w:r w:rsidRPr="003E680F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ÒA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X</w:t>
            </w:r>
            <w:r w:rsidRPr="003E680F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Ã HỘI CHỦ NGHĨA VIỆT NAM</w:t>
            </w:r>
          </w:p>
          <w:p w:rsid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E680F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</w:rPr>
              <w:t>______</w:t>
            </w:r>
            <w:r w:rsidRPr="003E680F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</w:rPr>
              <w:t>_</w:t>
            </w: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</w:t>
            </w:r>
          </w:p>
          <w:p w:rsidR="003E680F" w:rsidRPr="003E680F" w:rsidRDefault="003E680F" w:rsidP="00C7259E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Nội, ngày 15 th</w:t>
            </w:r>
            <w:r w:rsidRPr="003E680F">
              <w:rPr>
                <w:rFonts w:ascii="Arial" w:hAnsi="Arial" w:cs="Arial"/>
                <w:color w:val="000000" w:themeColor="text1"/>
                <w:sz w:val="20"/>
                <w:szCs w:val="20"/>
              </w:rPr>
              <w:t>áng 8 năm 2024</w:t>
            </w:r>
          </w:p>
        </w:tc>
      </w:tr>
    </w:tbl>
    <w:p w:rsidR="003E680F" w:rsidRDefault="003E680F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3E680F" w:rsidRPr="003E680F" w:rsidRDefault="003E680F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5343FD" w:rsidRPr="003E680F" w:rsidRDefault="006B4884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5343FD" w:rsidRDefault="006B4884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 Thông tư số 139/2017/TT-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BTC ngày 26 tháng 12 năm 2017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c</w:t>
      </w:r>
      <w:r w:rsidR="003E680F"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ủ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a Bộ trư</w:t>
      </w:r>
      <w:r w:rsidR="003E680F"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ở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ng Bộ 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Tài chính quy định quản lý và s</w:t>
      </w:r>
      <w:r w:rsidR="003E680F"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ử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dụng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kin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h phí sự nghiệp thực hiện Chươ</w:t>
      </w:r>
      <w:r w:rsidR="003E680F"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</w:t>
      </w:r>
      <w:r w:rsid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g trình mục tiêu Phát triển vă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 hóa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giai đoạn 2016-2020</w:t>
      </w:r>
    </w:p>
    <w:p w:rsidR="003E680F" w:rsidRPr="003E680F" w:rsidRDefault="003E680F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3E680F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</w:rPr>
        <w:t>___________</w:t>
      </w:r>
    </w:p>
    <w:p w:rsidR="003E680F" w:rsidRPr="003E680F" w:rsidRDefault="003E680F" w:rsidP="003E680F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5343FD" w:rsidRPr="003E680F" w:rsidRDefault="003E680F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n cứ Luật Ban hành văn bả</w:t>
      </w:r>
      <w:r>
        <w:rPr>
          <w:rFonts w:ascii="Arial" w:hAnsi="Arial" w:cs="Arial"/>
          <w:color w:val="000000" w:themeColor="text1"/>
          <w:sz w:val="20"/>
          <w:szCs w:val="20"/>
        </w:rPr>
        <w:t>n quy phạm pháp luật ngày 22 th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á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ng 6 nám </w:t>
      </w:r>
      <w:r>
        <w:rPr>
          <w:rFonts w:ascii="Arial" w:hAnsi="Arial" w:cs="Arial"/>
          <w:color w:val="000000" w:themeColor="text1"/>
          <w:sz w:val="20"/>
          <w:szCs w:val="20"/>
        </w:rPr>
        <w:t>2015; Luật sửa đổ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i, b</w:t>
      </w:r>
      <w:r>
        <w:rPr>
          <w:rFonts w:ascii="Arial" w:hAnsi="Arial" w:cs="Arial"/>
          <w:color w:val="000000" w:themeColor="text1"/>
          <w:sz w:val="20"/>
          <w:szCs w:val="20"/>
        </w:rPr>
        <w:t>ổ sung một số điều của Luật Ban hành văn bả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n quy p</w:t>
      </w:r>
      <w:r>
        <w:rPr>
          <w:rFonts w:ascii="Arial" w:hAnsi="Arial" w:cs="Arial"/>
          <w:color w:val="000000" w:themeColor="text1"/>
          <w:sz w:val="20"/>
          <w:szCs w:val="20"/>
        </w:rPr>
        <w:t>hạm pháp luật ngày 18 tháng 6 n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m 2020;</w:t>
      </w:r>
    </w:p>
    <w:p w:rsidR="005343FD" w:rsidRPr="003E680F" w:rsidRDefault="003E680F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 cứ Nghị định </w:t>
      </w:r>
      <w:r>
        <w:rPr>
          <w:rFonts w:ascii="Arial" w:hAnsi="Arial" w:cs="Arial"/>
          <w:color w:val="000000" w:themeColor="text1"/>
          <w:sz w:val="20"/>
          <w:szCs w:val="20"/>
        </w:rPr>
        <w:t>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34/2016/NĐ-CP ngày 14 tháng 5 </w:t>
      </w:r>
      <w:r>
        <w:rPr>
          <w:rFonts w:ascii="Arial" w:hAnsi="Arial" w:cs="Arial"/>
          <w:color w:val="000000" w:themeColor="text1"/>
          <w:sz w:val="20"/>
          <w:szCs w:val="20"/>
        </w:rPr>
        <w:t>năm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2016 của Chính phủ quy định chi tiết một </w:t>
      </w:r>
      <w:r>
        <w:rPr>
          <w:rFonts w:ascii="Arial" w:hAnsi="Arial" w:cs="Arial"/>
          <w:color w:val="000000" w:themeColor="text1"/>
          <w:sz w:val="20"/>
          <w:szCs w:val="20"/>
        </w:rPr>
        <w:t>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và biện pháp th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i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hành Luật Ban hành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văn 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bả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 quy phạm pháp luật; Nghị định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số 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>54/2020/NĐ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-CP ngày 31 tháng 12 năm 2020 của Chính phủ sửa </w:t>
      </w:r>
      <w:r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một số </w:t>
      </w:r>
      <w:r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34/2016/NĐ-CP ngày 14 th</w:t>
      </w:r>
      <w:r>
        <w:rPr>
          <w:rFonts w:ascii="Arial" w:hAnsi="Arial" w:cs="Arial"/>
          <w:color w:val="000000" w:themeColor="text1"/>
          <w:sz w:val="20"/>
          <w:szCs w:val="20"/>
        </w:rPr>
        <w:t>á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ng 5 </w:t>
      </w:r>
      <w:r>
        <w:rPr>
          <w:rFonts w:ascii="Arial" w:hAnsi="Arial" w:cs="Arial"/>
          <w:color w:val="000000" w:themeColor="text1"/>
          <w:sz w:val="20"/>
          <w:szCs w:val="20"/>
        </w:rPr>
        <w:t>năm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2016 </w:t>
      </w:r>
      <w:r>
        <w:rPr>
          <w:rFonts w:ascii="Arial" w:hAnsi="Arial" w:cs="Arial"/>
          <w:color w:val="000000" w:themeColor="text1"/>
          <w:sz w:val="20"/>
          <w:szCs w:val="20"/>
        </w:rPr>
        <w:t>của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</w:t>
      </w:r>
      <w:r>
        <w:rPr>
          <w:rFonts w:ascii="Arial" w:hAnsi="Arial" w:cs="Arial"/>
          <w:color w:val="000000" w:themeColor="text1"/>
          <w:sz w:val="20"/>
          <w:szCs w:val="20"/>
        </w:rPr>
        <w:t>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và biệ</w:t>
      </w:r>
      <w:r>
        <w:rPr>
          <w:rFonts w:ascii="Arial" w:hAnsi="Arial" w:cs="Arial"/>
          <w:color w:val="000000" w:themeColor="text1"/>
          <w:sz w:val="20"/>
          <w:szCs w:val="20"/>
        </w:rPr>
        <w:t>n pháp thi hành Luật Ban hành vă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 bản quy phạm pháp luật; Nghị </w:t>
      </w:r>
      <w:r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59/2024/NĐ-CP ngày 25 tháng 5 n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m 2024 của </w:t>
      </w:r>
      <w:r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sửa </w:t>
      </w:r>
      <w:r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>
        <w:rPr>
          <w:rFonts w:ascii="Arial" w:hAnsi="Arial" w:cs="Arial"/>
          <w:color w:val="000000" w:themeColor="text1"/>
          <w:sz w:val="20"/>
          <w:szCs w:val="20"/>
        </w:rPr>
        <w:t>ột 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điều của Nghị định </w:t>
      </w:r>
      <w:r>
        <w:rPr>
          <w:rFonts w:ascii="Arial" w:hAnsi="Arial" w:cs="Arial"/>
          <w:color w:val="000000" w:themeColor="text1"/>
          <w:sz w:val="20"/>
          <w:szCs w:val="20"/>
        </w:rPr>
        <w:t>số 34/20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1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6/NĐ-CP ngày 14 tháng 5 năm 2016 quy định chi tiết một </w:t>
      </w:r>
      <w:r>
        <w:rPr>
          <w:rFonts w:ascii="Arial" w:hAnsi="Arial" w:cs="Arial"/>
          <w:color w:val="000000" w:themeColor="text1"/>
          <w:sz w:val="20"/>
          <w:szCs w:val="20"/>
        </w:rPr>
        <w:t>số điề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u và biện pháp thi hành Luật Ban hành </w:t>
      </w:r>
      <w:r>
        <w:rPr>
          <w:rFonts w:ascii="Arial" w:hAnsi="Arial" w:cs="Arial"/>
          <w:color w:val="000000" w:themeColor="text1"/>
          <w:sz w:val="20"/>
          <w:szCs w:val="20"/>
        </w:rPr>
        <w:t>văn bả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 quy phạm pháp luật đã được sửa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đổi, 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b</w:t>
      </w:r>
      <w:r>
        <w:rPr>
          <w:rFonts w:ascii="Arial" w:hAnsi="Arial" w:cs="Arial"/>
          <w:color w:val="000000" w:themeColor="text1"/>
          <w:sz w:val="20"/>
          <w:szCs w:val="20"/>
        </w:rPr>
        <w:t>ổ sung một số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theo Nghị định s</w:t>
      </w:r>
      <w:r>
        <w:rPr>
          <w:rFonts w:ascii="Arial" w:hAnsi="Arial" w:cs="Arial"/>
          <w:color w:val="000000" w:themeColor="text1"/>
          <w:sz w:val="20"/>
          <w:szCs w:val="20"/>
        </w:rPr>
        <w:t>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15</w:t>
      </w:r>
      <w:r>
        <w:rPr>
          <w:rFonts w:ascii="Arial" w:hAnsi="Arial" w:cs="Arial"/>
          <w:color w:val="000000" w:themeColor="text1"/>
          <w:sz w:val="20"/>
          <w:szCs w:val="20"/>
        </w:rPr>
        <w:t>4/2020/NĐ-CP ngày 31 tháng 12 nă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m 2020 </w:t>
      </w:r>
      <w:r>
        <w:rPr>
          <w:rFonts w:ascii="Arial" w:hAnsi="Arial" w:cs="Arial"/>
          <w:color w:val="000000" w:themeColor="text1"/>
          <w:sz w:val="20"/>
          <w:szCs w:val="20"/>
        </w:rPr>
        <w:t>của Chí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nh phủ;</w:t>
      </w:r>
    </w:p>
    <w:p w:rsidR="005343FD" w:rsidRPr="003E680F" w:rsidRDefault="003E680F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Căn cứ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Nghị đ</w:t>
      </w:r>
      <w:r>
        <w:rPr>
          <w:rFonts w:ascii="Arial" w:hAnsi="Arial" w:cs="Arial"/>
          <w:color w:val="000000" w:themeColor="text1"/>
          <w:sz w:val="20"/>
          <w:szCs w:val="20"/>
        </w:rPr>
        <w:t>ịnh số 14/2023/NĐ-CP ngày 20 thá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ng 4 năm 202</w:t>
      </w:r>
      <w:r>
        <w:rPr>
          <w:rFonts w:ascii="Arial" w:hAnsi="Arial" w:cs="Arial"/>
          <w:color w:val="000000" w:themeColor="text1"/>
          <w:sz w:val="20"/>
          <w:szCs w:val="20"/>
        </w:rPr>
        <w:t>3 của Chính phủ quy định chức n</w:t>
      </w:r>
      <w:r w:rsidRPr="003E680F">
        <w:rPr>
          <w:rFonts w:ascii="Arial" w:hAnsi="Arial" w:cs="Arial"/>
          <w:color w:val="000000" w:themeColor="text1"/>
          <w:sz w:val="20"/>
          <w:szCs w:val="20"/>
        </w:rPr>
        <w:t>ă</w:t>
      </w:r>
      <w:r>
        <w:rPr>
          <w:rFonts w:ascii="Arial" w:hAnsi="Arial" w:cs="Arial"/>
          <w:color w:val="000000" w:themeColor="text1"/>
          <w:sz w:val="20"/>
          <w:szCs w:val="20"/>
        </w:rPr>
        <w:t>ng, nhiệm vụ, quyền hạn và cơ cấu tổ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chức của Bộ Tài chính;</w:t>
      </w:r>
    </w:p>
    <w:p w:rsidR="005343FD" w:rsidRPr="003E680F" w:rsidRDefault="006B4884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color w:val="000000" w:themeColor="text1"/>
          <w:sz w:val="20"/>
          <w:szCs w:val="20"/>
        </w:rPr>
        <w:t>Theo đề nghị của Vụ trưởng Vụ Tài chính Hành chính sự nghiệp;</w:t>
      </w:r>
    </w:p>
    <w:p w:rsidR="005343FD" w:rsidRPr="003E680F" w:rsidRDefault="003E680F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Bộ trưởng Bộ Tài chí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>nh ban hàn</w:t>
      </w:r>
      <w:r>
        <w:rPr>
          <w:rFonts w:ascii="Arial" w:hAnsi="Arial" w:cs="Arial"/>
          <w:color w:val="000000" w:themeColor="text1"/>
          <w:sz w:val="20"/>
          <w:szCs w:val="20"/>
        </w:rPr>
        <w:t>h Thông tư bãi bỏ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Thông tư s</w:t>
      </w:r>
      <w:r>
        <w:rPr>
          <w:rFonts w:ascii="Arial" w:hAnsi="Arial" w:cs="Arial"/>
          <w:color w:val="000000" w:themeColor="text1"/>
          <w:sz w:val="20"/>
          <w:szCs w:val="20"/>
        </w:rPr>
        <w:t>ố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139/2017/TT-BTC ngày 26 tháng 12 năm 2017 của Bộ trưởng Bộ Tài chính quy định quản lý và sử dụng kinh phí sự nghiệp thực hiện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Chương trình mục tiêu Phát triể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>
        <w:rPr>
          <w:rFonts w:ascii="Arial" w:hAnsi="Arial" w:cs="Arial"/>
          <w:color w:val="000000" w:themeColor="text1"/>
          <w:sz w:val="20"/>
          <w:szCs w:val="20"/>
        </w:rPr>
        <w:t>văn</w:t>
      </w:r>
      <w:r w:rsidR="006B4884" w:rsidRPr="003E680F">
        <w:rPr>
          <w:rFonts w:ascii="Arial" w:hAnsi="Arial" w:cs="Arial"/>
          <w:color w:val="000000" w:themeColor="text1"/>
          <w:sz w:val="20"/>
          <w:szCs w:val="20"/>
        </w:rPr>
        <w:t xml:space="preserve"> hóa giai đoạn 2016-2020.</w:t>
      </w:r>
    </w:p>
    <w:p w:rsidR="005343FD" w:rsidRPr="003E680F" w:rsidRDefault="006B4884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1. Bãi bỏ toàn bộ Thông tư</w:t>
      </w:r>
    </w:p>
    <w:p w:rsidR="009E4C14" w:rsidRDefault="006B4884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Bãi bỏ toàn bộ Thông tư số 139/2017/TT-BTC ngày 26 tháng 12 năm 2017 của </w:t>
      </w:r>
      <w:r w:rsid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Bộ trưởng Bộ Tài chính quy định quản lý và sử</w:t>
      </w:r>
      <w:r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dụng kinh phí sự nghiệp thực hiện Chương trình mụ</w:t>
      </w:r>
      <w:r w:rsidR="00CB61F0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 tiêu Phát triển văn hóa giai đ</w:t>
      </w:r>
      <w:r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oạn 2016 - 2020.</w:t>
      </w:r>
    </w:p>
    <w:p w:rsidR="005343FD" w:rsidRPr="003E680F" w:rsidRDefault="006B4884" w:rsidP="009E4C14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="009E4C14" w:rsidRPr="009E4C14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</w:t>
      </w:r>
      <w:r w:rsidRPr="003E680F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iều khoản thi hành</w:t>
      </w:r>
    </w:p>
    <w:p w:rsidR="005343FD" w:rsidRPr="003E680F" w:rsidRDefault="009E4C14" w:rsidP="009E4C14">
      <w:pPr>
        <w:pStyle w:val="BodyText"/>
        <w:tabs>
          <w:tab w:val="left" w:pos="104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9E4C14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1. </w:t>
      </w:r>
      <w:r w:rsidR="006B4884"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n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ày có hiệu lực thi hành từ ngày</w:t>
      </w:r>
      <w:r w:rsidRPr="009E4C14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05 </w:t>
      </w:r>
      <w:r w:rsidR="006B4884"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tháng</w:t>
      </w:r>
      <w:r w:rsidRPr="009E4C14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10 </w:t>
      </w:r>
      <w:r w:rsidR="006B4884"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năm 2024.</w:t>
      </w:r>
    </w:p>
    <w:p w:rsidR="005343FD" w:rsidRDefault="009E4C14" w:rsidP="009E4C14">
      <w:pPr>
        <w:pStyle w:val="BodyText"/>
        <w:tabs>
          <w:tab w:val="left" w:pos="1089"/>
        </w:tabs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1" w:name="bookmark1"/>
      <w:bookmarkEnd w:id="1"/>
      <w:r w:rsidRPr="009E4C14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2. 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Vụ trưở</w:t>
      </w:r>
      <w:r w:rsidR="006B4884"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Vụ Tài chính Hành chính sự nghiệp, Thủ trư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ở</w:t>
      </w:r>
      <w:r w:rsidR="006B4884" w:rsidRPr="003E680F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các đơn vị thuộc Bộ Tài chính và các cơ quan, tổ chức, cá nhân có liên quan chịu trách nhiệm thi hành Thông tư này./.</w:t>
      </w:r>
    </w:p>
    <w:p w:rsidR="009E4C14" w:rsidRDefault="009E4C14" w:rsidP="009E4C14">
      <w:pPr>
        <w:pStyle w:val="BodyText"/>
        <w:tabs>
          <w:tab w:val="left" w:pos="1089"/>
        </w:tabs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440"/>
      </w:tblGrid>
      <w:tr w:rsidR="009E4C14" w:rsidTr="009E4C14">
        <w:tc>
          <w:tcPr>
            <w:tcW w:w="3093" w:type="pct"/>
          </w:tcPr>
          <w:p w:rsidR="009E4C14" w:rsidRPr="003E680F" w:rsidRDefault="009E4C14" w:rsidP="009E4C14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</w:t>
            </w:r>
            <w:r w:rsidRPr="009E4C1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ơ</w:t>
            </w:r>
            <w:r w:rsidRPr="003E680F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i nhận: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" w:name="bookmark2"/>
            <w:bookmarkEnd w:id="2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Ban Bí thư Trung ương Đ</w:t>
            </w:r>
            <w:r w:rsidRPr="009E4C14">
              <w:rPr>
                <w:rFonts w:ascii="Arial" w:hAnsi="Arial" w:cs="Arial"/>
                <w:color w:val="000000" w:themeColor="text1"/>
              </w:rPr>
              <w:t>ả</w:t>
            </w:r>
            <w:r w:rsidRPr="003E680F">
              <w:rPr>
                <w:rFonts w:ascii="Arial" w:hAnsi="Arial" w:cs="Arial"/>
                <w:color w:val="000000" w:themeColor="text1"/>
              </w:rPr>
              <w:t>ng;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3" w:name="bookmark3"/>
            <w:bookmarkEnd w:id="3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Thủ tướng, các Phó Thủ tướng Chính phủ;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4" w:name="bookmark4"/>
            <w:bookmarkEnd w:id="4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Văn phòng Trung ương và các Ban của Đảng;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5" w:name="bookmark5"/>
            <w:bookmarkEnd w:id="5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Văn phòng Tổng Bí thư;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6" w:name="bookmark6"/>
            <w:bookmarkEnd w:id="6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Hội đồng Dân tộc và các </w:t>
            </w:r>
            <w:r>
              <w:rPr>
                <w:rFonts w:ascii="Arial" w:hAnsi="Arial" w:cs="Arial"/>
                <w:color w:val="000000" w:themeColor="text1"/>
              </w:rPr>
              <w:t>Ủy ban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 của Quốc hội;</w:t>
            </w:r>
          </w:p>
          <w:p w:rsidR="009E4C14" w:rsidRPr="003E680F" w:rsidRDefault="009E4C14" w:rsidP="009E4C14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Văn phòng Quốc hội;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7" w:name="bookmark7"/>
            <w:bookmarkEnd w:id="7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Văn phòng Chủ tịch nước;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8" w:name="bookmark8"/>
            <w:bookmarkEnd w:id="8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Viện Kiểm sát nhân dân tối cao;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9" w:name="bookmark9"/>
            <w:bookmarkEnd w:id="9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Tòa án nhân dân tối cao;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0" w:name="bookmark10"/>
            <w:bookmarkEnd w:id="10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Ủy ban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 Giám sát tài chính quốc gia;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1" w:name="bookmark11"/>
            <w:bookmarkEnd w:id="11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Ki</w:t>
            </w:r>
            <w:r w:rsidRPr="009E4C14">
              <w:rPr>
                <w:rFonts w:ascii="Arial" w:hAnsi="Arial" w:cs="Arial"/>
                <w:color w:val="000000" w:themeColor="text1"/>
              </w:rPr>
              <w:t>ể</w:t>
            </w:r>
            <w:r w:rsidRPr="003E680F">
              <w:rPr>
                <w:rFonts w:ascii="Arial" w:hAnsi="Arial" w:cs="Arial"/>
                <w:color w:val="000000" w:themeColor="text1"/>
              </w:rPr>
              <w:t>m toán nhà nước;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2" w:name="bookmark12"/>
            <w:bookmarkEnd w:id="12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Các Bộ, cơ quan n</w:t>
            </w:r>
            <w:r>
              <w:rPr>
                <w:rFonts w:ascii="Arial" w:hAnsi="Arial" w:cs="Arial"/>
                <w:color w:val="000000" w:themeColor="text1"/>
              </w:rPr>
              <w:t>gang Bộ, cơ quan thuộc Chính ph</w:t>
            </w:r>
            <w:r w:rsidRPr="009E4C14">
              <w:rPr>
                <w:rFonts w:ascii="Arial" w:hAnsi="Arial" w:cs="Arial"/>
                <w:color w:val="000000" w:themeColor="text1"/>
              </w:rPr>
              <w:t>ủ</w:t>
            </w:r>
            <w:r w:rsidRPr="003E680F">
              <w:rPr>
                <w:rFonts w:ascii="Arial" w:hAnsi="Arial" w:cs="Arial"/>
                <w:color w:val="000000" w:themeColor="text1"/>
              </w:rPr>
              <w:t>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3" w:name="bookmark13"/>
            <w:bookmarkEnd w:id="13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Ủy ban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 Trung ương Mặt trận Tổ quốc Việt Nam;</w:t>
            </w:r>
          </w:p>
          <w:p w:rsidR="009E4C14" w:rsidRPr="003E680F" w:rsidRDefault="009E4C14" w:rsidP="009E4C14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4" w:name="bookmark14"/>
            <w:bookmarkEnd w:id="14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Cơ </w:t>
            </w:r>
            <w:r>
              <w:rPr>
                <w:rFonts w:ascii="Arial" w:hAnsi="Arial" w:cs="Arial"/>
                <w:color w:val="000000" w:themeColor="text1"/>
              </w:rPr>
              <w:t>quan Trung ương của các đoàn th</w:t>
            </w:r>
            <w:r w:rsidRPr="009E4C14">
              <w:rPr>
                <w:rFonts w:ascii="Arial" w:hAnsi="Arial" w:cs="Arial"/>
                <w:color w:val="000000" w:themeColor="text1"/>
              </w:rPr>
              <w:t>ể</w:t>
            </w:r>
            <w:r w:rsidRPr="003E680F">
              <w:rPr>
                <w:rFonts w:ascii="Arial" w:hAnsi="Arial" w:cs="Arial"/>
                <w:color w:val="000000" w:themeColor="text1"/>
              </w:rPr>
              <w:t>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5" w:name="bookmark15"/>
            <w:bookmarkEnd w:id="15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HĐN</w:t>
            </w:r>
            <w:r>
              <w:rPr>
                <w:rFonts w:ascii="Arial" w:hAnsi="Arial" w:cs="Arial"/>
                <w:color w:val="000000" w:themeColor="text1"/>
              </w:rPr>
              <w:t>D, UBND các t</w:t>
            </w:r>
            <w:r w:rsidRPr="009E4C14">
              <w:rPr>
                <w:rFonts w:ascii="Arial" w:hAnsi="Arial" w:cs="Arial"/>
                <w:color w:val="000000" w:themeColor="text1"/>
              </w:rPr>
              <w:t>ỉ</w:t>
            </w:r>
            <w:r w:rsidRPr="003E680F">
              <w:rPr>
                <w:rFonts w:ascii="Arial" w:hAnsi="Arial" w:cs="Arial"/>
                <w:color w:val="000000" w:themeColor="text1"/>
              </w:rPr>
              <w:t>nh, thành phố trực thuộc Trung ương;</w:t>
            </w:r>
          </w:p>
          <w:p w:rsidR="009E4C14" w:rsidRPr="003E680F" w:rsidRDefault="009E4C14" w:rsidP="009E4C14">
            <w:pPr>
              <w:pStyle w:val="Bodytext20"/>
              <w:tabs>
                <w:tab w:val="left" w:pos="265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6" w:name="bookmark16"/>
            <w:bookmarkEnd w:id="16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Sở T</w:t>
            </w:r>
            <w:r>
              <w:rPr>
                <w:rFonts w:ascii="Arial" w:hAnsi="Arial" w:cs="Arial"/>
                <w:color w:val="000000" w:themeColor="text1"/>
              </w:rPr>
              <w:t>ài ch</w:t>
            </w:r>
            <w:bookmarkStart w:id="17" w:name="_GoBack"/>
            <w:bookmarkEnd w:id="17"/>
            <w:r>
              <w:rPr>
                <w:rFonts w:ascii="Arial" w:hAnsi="Arial" w:cs="Arial"/>
                <w:color w:val="000000" w:themeColor="text1"/>
              </w:rPr>
              <w:t>ính, Sở VHTTDL, KBNN các tỉ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nh, thành phố trực </w:t>
            </w:r>
            <w:r w:rsidRPr="003E680F">
              <w:rPr>
                <w:rFonts w:ascii="Arial" w:hAnsi="Arial" w:cs="Arial"/>
                <w:color w:val="000000" w:themeColor="text1"/>
              </w:rPr>
              <w:lastRenderedPageBreak/>
              <w:t>thuộc Trung ương;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8" w:name="bookmark17"/>
            <w:bookmarkEnd w:id="18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Liên hiệp các Hội Văn học nghệ thuật Việt Nam;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9" w:name="bookmark18"/>
            <w:bookmarkEnd w:id="19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Cục Ki</w:t>
            </w:r>
            <w:r w:rsidRPr="009E4C14">
              <w:rPr>
                <w:rFonts w:ascii="Arial" w:hAnsi="Arial" w:cs="Arial"/>
                <w:color w:val="000000" w:themeColor="text1"/>
              </w:rPr>
              <w:t>ể</w:t>
            </w:r>
            <w:r w:rsidRPr="003E680F">
              <w:rPr>
                <w:rFonts w:ascii="Arial" w:hAnsi="Arial" w:cs="Arial"/>
                <w:color w:val="000000" w:themeColor="text1"/>
              </w:rPr>
              <w:t>m tra VBQPPL (Bộ Tư pháp);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0" w:name="bookmark19"/>
            <w:bookmarkEnd w:id="20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Công báo;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1" w:name="bookmark20"/>
            <w:bookmarkEnd w:id="21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Cổng thông tin điện tử Chính phủ;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2" w:name="bookmark21"/>
            <w:bookmarkEnd w:id="22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Cổng thông tin điện tử Bộ Tài chính;</w:t>
            </w:r>
          </w:p>
          <w:p w:rsidR="009E4C14" w:rsidRPr="003E680F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3" w:name="bookmark22"/>
            <w:bookmarkEnd w:id="23"/>
            <w:r w:rsidRPr="009E4C14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>Các đơn vị, tổ chức thuộc Bộ Tài chính;</w:t>
            </w:r>
          </w:p>
          <w:p w:rsidR="009E4C14" w:rsidRDefault="009E4C14" w:rsidP="009E4C14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4" w:name="bookmark23"/>
            <w:bookmarkEnd w:id="24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3E680F">
              <w:rPr>
                <w:rFonts w:ascii="Arial" w:hAnsi="Arial" w:cs="Arial"/>
                <w:color w:val="000000" w:themeColor="text1"/>
              </w:rPr>
              <w:t xml:space="preserve">Lưu: VT, HCSN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(280 </w:t>
            </w:r>
            <w:r>
              <w:rPr>
                <w:rFonts w:ascii="Arial" w:hAnsi="Arial" w:cs="Arial"/>
                <w:color w:val="000000" w:themeColor="text1"/>
              </w:rPr>
              <w:t>bản).</w:t>
            </w:r>
          </w:p>
        </w:tc>
        <w:tc>
          <w:tcPr>
            <w:tcW w:w="1907" w:type="pct"/>
          </w:tcPr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KT.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THỨ</w:t>
            </w:r>
            <w:proofErr w:type="spellEnd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9E4C14" w:rsidRPr="009E4C14" w:rsidRDefault="009E4C14" w:rsidP="009E4C14">
            <w:pPr>
              <w:pStyle w:val="BodyText"/>
              <w:tabs>
                <w:tab w:val="left" w:pos="1089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Võ</w:t>
            </w:r>
            <w:proofErr w:type="spellEnd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Thành</w:t>
            </w:r>
            <w:proofErr w:type="spellEnd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Hưng</w:t>
            </w:r>
            <w:proofErr w:type="spellEnd"/>
          </w:p>
        </w:tc>
      </w:tr>
    </w:tbl>
    <w:p w:rsidR="009E4C14" w:rsidRPr="003E680F" w:rsidRDefault="009E4C14" w:rsidP="009E4C14">
      <w:pPr>
        <w:pStyle w:val="BodyText"/>
        <w:tabs>
          <w:tab w:val="left" w:pos="1089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E4C14" w:rsidRPr="003E680F" w:rsidSect="009E4C14">
      <w:headerReference w:type="default" r:id="rId7"/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F7" w:rsidRDefault="00A33FF7">
      <w:r>
        <w:separator/>
      </w:r>
    </w:p>
  </w:endnote>
  <w:endnote w:type="continuationSeparator" w:id="0">
    <w:p w:rsidR="00A33FF7" w:rsidRDefault="00A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F7" w:rsidRDefault="00A33FF7"/>
  </w:footnote>
  <w:footnote w:type="continuationSeparator" w:id="0">
    <w:p w:rsidR="00A33FF7" w:rsidRDefault="00A33F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FD" w:rsidRDefault="005343F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74ADF"/>
    <w:multiLevelType w:val="multilevel"/>
    <w:tmpl w:val="37D2C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7A5EE2"/>
    <w:multiLevelType w:val="multilevel"/>
    <w:tmpl w:val="80F6D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FD"/>
    <w:rsid w:val="003E680F"/>
    <w:rsid w:val="005343FD"/>
    <w:rsid w:val="00617F75"/>
    <w:rsid w:val="006B4884"/>
    <w:rsid w:val="009C44F4"/>
    <w:rsid w:val="009E4C14"/>
    <w:rsid w:val="00A33FF7"/>
    <w:rsid w:val="00B30610"/>
    <w:rsid w:val="00C7259E"/>
    <w:rsid w:val="00C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B4D74-BB7C-4F69-A052-00B84212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76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30">
    <w:name w:val="Body text (3)"/>
    <w:basedOn w:val="Normal"/>
    <w:link w:val="Bodytext3"/>
    <w:pPr>
      <w:spacing w:after="270" w:line="228" w:lineRule="auto"/>
      <w:ind w:left="5880"/>
    </w:pPr>
    <w:rPr>
      <w:rFonts w:ascii="Arial" w:eastAsia="Arial" w:hAnsi="Arial" w:cs="Arial"/>
      <w:sz w:val="13"/>
      <w:szCs w:val="13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line="266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C1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C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Phạmminh</dc:creator>
  <cp:lastModifiedBy>NGUYỄN XUÂN HUY</cp:lastModifiedBy>
  <cp:revision>5</cp:revision>
  <dcterms:created xsi:type="dcterms:W3CDTF">2024-08-20T09:44:00Z</dcterms:created>
  <dcterms:modified xsi:type="dcterms:W3CDTF">2024-08-21T01:31:00Z</dcterms:modified>
</cp:coreProperties>
</file>