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5F3281" w14:paraId="2859261F" w14:textId="77777777">
        <w:tc>
          <w:tcPr>
            <w:tcW w:w="1645" w:type="pct"/>
          </w:tcPr>
          <w:p w14:paraId="1F22D4DA" w14:textId="77777777" w:rsidR="005F3281" w:rsidRDefault="007C11C1" w:rsidP="00646A2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</w:p>
          <w:p w14:paraId="6DAC6CF1" w14:textId="77777777" w:rsidR="00646A20" w:rsidRDefault="00646A20" w:rsidP="00646A20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</w:p>
          <w:p w14:paraId="164C61A0" w14:textId="067FBE19" w:rsidR="005F3281" w:rsidRDefault="007C11C1" w:rsidP="00646A2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207/2025/NĐ-CP</w:t>
            </w:r>
          </w:p>
        </w:tc>
        <w:tc>
          <w:tcPr>
            <w:tcW w:w="3355" w:type="pct"/>
          </w:tcPr>
          <w:p w14:paraId="0B49F3F8" w14:textId="77777777" w:rsidR="005F3281" w:rsidRDefault="007C11C1" w:rsidP="00646A2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2F213774" w14:textId="77777777" w:rsidR="005F3281" w:rsidRDefault="007C11C1" w:rsidP="00646A20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15 tháng 7 năm 2025</w:t>
            </w:r>
          </w:p>
        </w:tc>
      </w:tr>
    </w:tbl>
    <w:p w14:paraId="14140FEF" w14:textId="77777777" w:rsidR="009B5D47" w:rsidRDefault="009B5D47" w:rsidP="00646A20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D22FAAF" w14:textId="77777777" w:rsidR="009B5D47" w:rsidRDefault="009B5D47" w:rsidP="00646A20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F1849F3" w14:textId="1367E6F5" w:rsidR="005F3281" w:rsidRDefault="007C11C1" w:rsidP="00646A20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61D9F58C" w14:textId="77777777" w:rsidR="005F3281" w:rsidRDefault="007C11C1" w:rsidP="00646A20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sinh con b</w:t>
      </w:r>
      <w:r>
        <w:rPr>
          <w:rFonts w:ascii="Arial" w:hAnsi="Arial"/>
          <w:b/>
          <w:sz w:val="20"/>
        </w:rPr>
        <w:t>ằ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sinh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  <w:r>
        <w:br/>
      </w:r>
      <w:r>
        <w:rPr>
          <w:rFonts w:ascii="Arial" w:hAnsi="Arial"/>
          <w:b/>
          <w:sz w:val="20"/>
        </w:rPr>
        <w:t>và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mang thai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c đích </w:t>
      </w:r>
      <w:r>
        <w:rPr>
          <w:rFonts w:ascii="Arial" w:hAnsi="Arial"/>
          <w:b/>
          <w:sz w:val="20"/>
        </w:rPr>
        <w:t>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</w:p>
    <w:p w14:paraId="62397670" w14:textId="42BC9917" w:rsidR="009B5D47" w:rsidRPr="009B5D47" w:rsidRDefault="009B5D47" w:rsidP="00646A20">
      <w:pPr>
        <w:spacing w:after="0" w:line="240" w:lineRule="auto"/>
        <w:jc w:val="center"/>
        <w:rPr>
          <w:rFonts w:ascii="Arial" w:hAnsi="Arial"/>
          <w:bCs/>
          <w:sz w:val="20"/>
        </w:rPr>
      </w:pPr>
      <w:r w:rsidRPr="009B5D47">
        <w:rPr>
          <w:rFonts w:ascii="Arial" w:hAnsi="Arial"/>
          <w:bCs/>
          <w:sz w:val="20"/>
        </w:rPr>
        <w:t>___________</w:t>
      </w:r>
    </w:p>
    <w:p w14:paraId="76D1EC39" w14:textId="77777777" w:rsidR="009B5D47" w:rsidRDefault="009B5D47" w:rsidP="00646A20">
      <w:pPr>
        <w:spacing w:after="0" w:line="240" w:lineRule="auto"/>
        <w:jc w:val="center"/>
      </w:pPr>
    </w:p>
    <w:p w14:paraId="01ADE8E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07CBE498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Hôn nhân và gia đình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52/2014/QH13;</w:t>
      </w:r>
    </w:p>
    <w:p w14:paraId="340D616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n, l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y, ghép mô,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ph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n cơ th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và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n, l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y xác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75/2006/QH11;</w:t>
      </w:r>
    </w:p>
    <w:p w14:paraId="005F8B0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Khám b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nh, ch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15/2023/QH15;</w:t>
      </w:r>
    </w:p>
    <w:p w14:paraId="6C64459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tư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61/2020/QH14;</w:t>
      </w:r>
    </w:p>
    <w:p w14:paraId="5DCFB2F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Y t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;</w:t>
      </w:r>
    </w:p>
    <w:p w14:paraId="0410FE28" w14:textId="77777777" w:rsidR="005F3281" w:rsidRDefault="007C11C1" w:rsidP="00646A20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sinh con b</w:t>
      </w:r>
      <w:r>
        <w:rPr>
          <w:rFonts w:ascii="Arial" w:hAnsi="Arial"/>
          <w:i/>
          <w:sz w:val="20"/>
        </w:rPr>
        <w:t>ằ</w:t>
      </w:r>
      <w:r>
        <w:rPr>
          <w:rFonts w:ascii="Arial" w:hAnsi="Arial"/>
          <w:i/>
          <w:sz w:val="20"/>
        </w:rPr>
        <w:t>ng k</w:t>
      </w:r>
      <w:r>
        <w:rPr>
          <w:rFonts w:ascii="Arial" w:hAnsi="Arial"/>
          <w:i/>
          <w:sz w:val="20"/>
        </w:rPr>
        <w:t>ỹ</w:t>
      </w:r>
      <w:r>
        <w:rPr>
          <w:rFonts w:ascii="Arial" w:hAnsi="Arial"/>
          <w:i/>
          <w:sz w:val="20"/>
        </w:rPr>
        <w:t xml:space="preserve"> thu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h</w:t>
      </w:r>
      <w:r>
        <w:rPr>
          <w:rFonts w:ascii="Arial" w:hAnsi="Arial"/>
          <w:i/>
          <w:sz w:val="20"/>
        </w:rPr>
        <w:t>ỗ</w:t>
      </w:r>
      <w:r>
        <w:rPr>
          <w:rFonts w:ascii="Arial" w:hAnsi="Arial"/>
          <w:i/>
          <w:sz w:val="20"/>
        </w:rPr>
        <w:t xml:space="preserve"> tr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 xml:space="preserve"> sinh 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và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ki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mang thai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vì m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đích nhân đ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o.</w:t>
      </w:r>
    </w:p>
    <w:p w14:paraId="24C1534E" w14:textId="77777777" w:rsidR="009B5D47" w:rsidRDefault="009B5D47" w:rsidP="00805B18">
      <w:pPr>
        <w:spacing w:after="0" w:line="240" w:lineRule="auto"/>
        <w:jc w:val="center"/>
      </w:pPr>
    </w:p>
    <w:p w14:paraId="1AF2EAE6" w14:textId="77777777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I </w:t>
      </w:r>
    </w:p>
    <w:p w14:paraId="742A2D07" w14:textId="77777777" w:rsidR="005F3281" w:rsidRDefault="007C11C1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16DC0771" w14:textId="77777777" w:rsidR="009B5D47" w:rsidRDefault="009B5D47" w:rsidP="00805B18">
      <w:pPr>
        <w:spacing w:after="0" w:line="240" w:lineRule="auto"/>
        <w:jc w:val="center"/>
      </w:pPr>
    </w:p>
    <w:p w14:paraId="110E5D9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</w:t>
      </w: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6F28D04D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tinh trùng, noãn, phôi;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phép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0BCC1C8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306E1E29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các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như sau:</w:t>
      </w:r>
    </w:p>
    <w:p w14:paraId="0B87E59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a noãn và tinh trùng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thành phôi.</w:t>
      </w:r>
    </w:p>
    <w:p w14:paraId="777E708B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là phương pháp đưa tinh trùng sau khi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r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vào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cho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tinh.</w:t>
      </w:r>
    </w:p>
    <w:p w14:paraId="48B07D48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Vô sinh là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sau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năm chung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có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tình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không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tránh thai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không có thai;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nam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có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lý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suy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sinh con.</w:t>
      </w:r>
    </w:p>
    <w:p w14:paraId="35C3058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là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không có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hôn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5B6F13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ân thích cùng hàng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bên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bên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Anh,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em cùng cha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, cùng cha khác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, cùng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khác cha; anh,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em con chú, con bác, con cô, con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con dì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.</w:t>
      </w:r>
    </w:p>
    <w:p w14:paraId="2651A706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sinh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và mang thai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</w:p>
    <w:p w14:paraId="2581604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tinh trùng,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noãn,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 trong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noãn,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phôi.</w:t>
      </w:r>
    </w:p>
    <w:p w14:paraId="6F5862FB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Tinh</w:t>
      </w:r>
      <w:r>
        <w:rPr>
          <w:rFonts w:ascii="Arial" w:hAnsi="Arial"/>
          <w:sz w:val="20"/>
        </w:rPr>
        <w:t xml:space="preserve"> trùng, noãn, phôi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sinh con.</w:t>
      </w:r>
    </w:p>
    <w:p w14:paraId="2CDA1E7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tinh trùng,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phôi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trên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vô danh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</w:t>
      </w:r>
      <w:bookmarkStart w:id="0" w:name="_GoBack"/>
      <w:bookmarkEnd w:id="0"/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</w:t>
      </w:r>
    </w:p>
    <w:p w14:paraId="46CE6DDA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vô sinh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ng.</w:t>
      </w:r>
    </w:p>
    <w:p w14:paraId="785922C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sinh ra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an toàn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riêng tư,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 nhân,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gia đình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tôn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5AB9F087" w14:textId="77777777" w:rsidR="009B5D47" w:rsidRDefault="009B5D47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E9728CC" w14:textId="5F0194E5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5804D620" w14:textId="77777777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NG, LƯU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TINH TRÙNG,</w:t>
      </w:r>
      <w:r>
        <w:br/>
      </w:r>
      <w:r>
        <w:rPr>
          <w:rFonts w:ascii="Arial" w:hAnsi="Arial"/>
          <w:b/>
          <w:sz w:val="20"/>
        </w:rPr>
        <w:t>NOÃN, PHÔI; SINH CON B</w:t>
      </w:r>
      <w:r>
        <w:rPr>
          <w:rFonts w:ascii="Arial" w:hAnsi="Arial"/>
          <w:b/>
          <w:sz w:val="20"/>
        </w:rPr>
        <w:t>Ằ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SINH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4C97766C" w14:textId="77777777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1</w:t>
      </w:r>
    </w:p>
    <w:p w14:paraId="69A6DD2E" w14:textId="2A4D54FE" w:rsidR="005F3281" w:rsidRDefault="007C11C1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TINH TRÙNG, NOÃN, PHÔI 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VÀ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TINH TRÙNG, NOÃN, PHÔI DƯ</w:t>
      </w:r>
    </w:p>
    <w:p w14:paraId="041B6AD1" w14:textId="77777777" w:rsidR="009B5D47" w:rsidRDefault="009B5D47" w:rsidP="00805B18">
      <w:pPr>
        <w:spacing w:after="0" w:line="240" w:lineRule="auto"/>
        <w:jc w:val="center"/>
      </w:pPr>
    </w:p>
    <w:p w14:paraId="418026A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tinh trùng, 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noãn, 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phôi</w:t>
      </w:r>
    </w:p>
    <w:p w14:paraId="6C576839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tinh trùng,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noãn,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phôi:</w:t>
      </w:r>
    </w:p>
    <w:p w14:paraId="70463C34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y, ghép mô,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cơ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và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xác;</w:t>
      </w:r>
    </w:p>
    <w:p w14:paraId="51808D8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sau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còn dư tinh trùng, noãn, phôi và không có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tinh trùng, noãn, phôi này;</w:t>
      </w:r>
    </w:p>
    <w:p w14:paraId="4BC1560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sau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còn dư noãn và </w:t>
      </w:r>
      <w:r>
        <w:rPr>
          <w:rFonts w:ascii="Arial" w:hAnsi="Arial"/>
          <w:sz w:val="20"/>
        </w:rPr>
        <w:t>không có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noãn này.</w:t>
      </w:r>
    </w:p>
    <w:p w14:paraId="530DD49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tinh trùng,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noãn,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di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sau;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khác mà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hành vi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mình;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HIV.</w:t>
      </w:r>
    </w:p>
    <w:p w14:paraId="54A13F0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tinh trùng, noãn, phôi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còn dư sau khi sinh con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8FAF24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tinh trùng,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noãn,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phôi đ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sinh con b</w:t>
      </w:r>
      <w:r>
        <w:rPr>
          <w:rFonts w:ascii="Arial" w:hAnsi="Arial"/>
          <w:b/>
          <w:sz w:val="20"/>
        </w:rPr>
        <w:t>ằ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 xml:space="preserve"> sinh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5E2CD99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tinh trùng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trong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đang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mà nguyên nhân vô sinh là do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có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sinh con và noãn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thai.</w:t>
      </w:r>
    </w:p>
    <w:p w14:paraId="79A378B9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noãn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có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trong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đang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mà nguyên nhân vô sinh là do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không có noãn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noãn không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thai.</w:t>
      </w:r>
    </w:p>
    <w:p w14:paraId="0F5B446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phôi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3B5AD16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trong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đang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mà nguyên nhân vô sinh là do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261FE436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trong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đang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mà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</w:t>
      </w:r>
      <w:r>
        <w:rPr>
          <w:rFonts w:ascii="Arial" w:hAnsi="Arial"/>
          <w:sz w:val="20"/>
        </w:rPr>
        <w:t xml:space="preserve">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nhưng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3082C14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mà không có noãn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noãn không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thai.</w:t>
      </w:r>
    </w:p>
    <w:p w14:paraId="233CF26C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tinh trùng,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noãn,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phôi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742CCCDB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tinh trùng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trong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tinh nhân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</w:p>
    <w:p w14:paraId="75BBF387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nhân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có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tinh trùng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467A798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tinh trùng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đã sinh con,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tinh trùng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còn dư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3960BA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tinh trùng, noãn, phôi dư</w:t>
      </w:r>
    </w:p>
    <w:p w14:paraId="0E4937E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đã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tinh trùng, noãn, phôi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và còn dư tinh trùng, noãn, phôi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đã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noãn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</w:t>
      </w:r>
      <w:r>
        <w:rPr>
          <w:rFonts w:ascii="Arial" w:hAnsi="Arial"/>
          <w:sz w:val="20"/>
        </w:rPr>
        <w:t>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mà còn dư noãn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tinh trùng, noãn, phôi còn dư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đó,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như sau:</w:t>
      </w:r>
    </w:p>
    <w:p w14:paraId="29F21134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468AB688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hai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thân, trong đó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rõ cho phép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tinh trùng, noãn, phôi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5289538D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vô sinh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khác;</w:t>
      </w:r>
    </w:p>
    <w:p w14:paraId="7957216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c;</w:t>
      </w:r>
    </w:p>
    <w:p w14:paraId="1EA8B2A7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hai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đích: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vô sinh khác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thân;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c;</w:t>
      </w:r>
    </w:p>
    <w:p w14:paraId="48DA627F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y.</w:t>
      </w:r>
    </w:p>
    <w:p w14:paraId="7D0173F4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đã sinh con băng tinh trùng, noãn, phôi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còn dư tinh trùng, noãn, phôi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tinh trùng, noãn, phôi còn dư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đó,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như sau:</w:t>
      </w:r>
    </w:p>
    <w:p w14:paraId="3BCA655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sinh con cho chính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đó;</w:t>
      </w:r>
    </w:p>
    <w:p w14:paraId="5E9E33EF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hai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thân;</w:t>
      </w:r>
    </w:p>
    <w:p w14:paraId="763B51A8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y.</w:t>
      </w:r>
    </w:p>
    <w:p w14:paraId="5CB8813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đã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tinh trùng,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noãn,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 nhưng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sinh con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cho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tinh trùng, noãn, phôi đã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0E75598B" w14:textId="77777777" w:rsidR="009B5D47" w:rsidRDefault="009B5D47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D41ACBD" w14:textId="2ADD7F9C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2</w:t>
      </w:r>
    </w:p>
    <w:p w14:paraId="4B8CAA5F" w14:textId="77777777" w:rsidR="005F3281" w:rsidRDefault="007C11C1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LƯU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VÀ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TINH TRÙNG, NOÃN, PHÔI</w:t>
      </w:r>
    </w:p>
    <w:p w14:paraId="552DC386" w14:textId="77777777" w:rsidR="009B5D47" w:rsidRDefault="009B5D47" w:rsidP="00805B18">
      <w:pPr>
        <w:spacing w:after="0" w:line="240" w:lineRule="auto"/>
        <w:jc w:val="center"/>
      </w:pPr>
    </w:p>
    <w:p w14:paraId="6E70E4F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Lưu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tinh trùng</w:t>
      </w:r>
      <w:r>
        <w:rPr>
          <w:rFonts w:ascii="Arial" w:hAnsi="Arial"/>
          <w:b/>
          <w:sz w:val="20"/>
        </w:rPr>
        <w:t>, lưu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noãn, lưu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phôi</w:t>
      </w:r>
    </w:p>
    <w:p w14:paraId="7C0BB0A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noãn,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phôi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i:</w:t>
      </w:r>
    </w:p>
    <w:p w14:paraId="67845B5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m;</w:t>
      </w:r>
    </w:p>
    <w:p w14:paraId="5BB0273D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Ngân hàng mô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y, ghép mô,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cơ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và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xác.</w:t>
      </w:r>
    </w:p>
    <w:p w14:paraId="0FDE2FD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tinh trùng,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noãn,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chi phí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qua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noãn,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phôi,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tinh trùng, noãn, phôi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n.</w:t>
      </w:r>
    </w:p>
    <w:p w14:paraId="59DD4AE7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không đóng phí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thì sau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06 tháng,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noãn,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phôi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tinh trùng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oãn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phôi đã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198F61ED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tinh trùng,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noãn,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tinh trùng, noãn, phôi đang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này sang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khác.</w:t>
      </w:r>
    </w:p>
    <w:p w14:paraId="2CAC8B0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tinh trùng,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noãn,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phôi</w:t>
      </w:r>
    </w:p>
    <w:p w14:paraId="725F5646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tinh trùng,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noãn,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4E7DB27D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đang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tinh trùng;</w:t>
      </w:r>
    </w:p>
    <w:p w14:paraId="4735576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đang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noãn;</w:t>
      </w:r>
    </w:p>
    <w:p w14:paraId="6465E247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đang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phôi;</w:t>
      </w:r>
    </w:p>
    <w:p w14:paraId="33A6A6EB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mu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cá nhân.</w:t>
      </w:r>
    </w:p>
    <w:p w14:paraId="1B5E592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tinh trùng,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noãn,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t:</w:t>
      </w:r>
    </w:p>
    <w:p w14:paraId="0D8E96C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tinh trùng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tinh trùng đang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p: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tinh trùng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đã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tinh trùng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323AAB2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noãn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noãn đang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noãn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0FC3E73C" w14:textId="43B4BC0A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</w:t>
      </w:r>
      <w:r w:rsidR="007C1A41">
        <w:rPr>
          <w:rFonts w:ascii="Arial" w:hAnsi="Arial"/>
          <w:sz w:val="20"/>
        </w:rPr>
        <w:t>Nế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trong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phôi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đó,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p: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có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phôi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hai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khác;</w:t>
      </w:r>
    </w:p>
    <w:p w14:paraId="698A9EE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trong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hai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phôi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đó,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hai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khác;</w:t>
      </w:r>
    </w:p>
    <w:p w14:paraId="05FE9694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phôi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c.</w:t>
      </w:r>
    </w:p>
    <w:p w14:paraId="12E3680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phôi đã ly hôn:</w:t>
      </w:r>
    </w:p>
    <w:p w14:paraId="3919F01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phôi đang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hai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c: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phôi và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chi phí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;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phôi đang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</w:t>
      </w:r>
      <w:r>
        <w:rPr>
          <w:rFonts w:ascii="Arial" w:hAnsi="Arial"/>
          <w:sz w:val="20"/>
        </w:rPr>
        <w:t>h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thân khác;</w:t>
      </w:r>
    </w:p>
    <w:p w14:paraId="331B7FC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phôi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đã ly hôn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có văn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hai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i.</w:t>
      </w:r>
    </w:p>
    <w:p w14:paraId="41012F89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tinh trùng, noãn, phôi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làm phát sinh các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ngoài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hôn nhân gia đình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hôn nhân gia đình và pháp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158C518" w14:textId="77777777" w:rsidR="009B5D47" w:rsidRDefault="009B5D47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589707C" w14:textId="57B2CC69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3</w:t>
      </w:r>
    </w:p>
    <w:p w14:paraId="64AD3D74" w14:textId="6F06D1DA" w:rsidR="005F3281" w:rsidRDefault="007C11C1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N,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CHO PHÉP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KHÁM B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NH, CH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NH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TINH TRONG 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</w:t>
      </w:r>
    </w:p>
    <w:p w14:paraId="62C854BD" w14:textId="77777777" w:rsidR="009B5D47" w:rsidRDefault="009B5D47" w:rsidP="00805B18">
      <w:pPr>
        <w:spacing w:after="0" w:line="240" w:lineRule="auto"/>
        <w:jc w:val="center"/>
      </w:pPr>
    </w:p>
    <w:p w14:paraId="651B875F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phép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tinh trong 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</w:t>
      </w:r>
    </w:p>
    <w:p w14:paraId="6C25277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chuyên khoa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xét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các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khoa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686900C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đơn nguyên riêng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phòng: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hút noãn,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phôi;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tinh trùng; xét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l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r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tinh trùng; Lab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1F4F199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Có các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mà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y; t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m;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noãn, phôi;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ly tâm; máy siêu âm; kính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ngư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kính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 soi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và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vi thao tác; t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an toàn sinh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2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lên.</w:t>
      </w:r>
    </w:p>
    <w:p w14:paraId="3894E2FC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Nhân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</w:t>
      </w:r>
    </w:p>
    <w:p w14:paraId="42D4BB6F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02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hành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bác sĩ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hành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chuyên khoa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và có văn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lâm sàng </w:t>
      </w:r>
      <w:r>
        <w:rPr>
          <w:rFonts w:ascii="Arial" w:hAnsi="Arial"/>
          <w:sz w:val="20"/>
        </w:rPr>
        <w:lastRenderedPageBreak/>
        <w:t>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kèm theo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đã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20 chu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 ban hành kèm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76275BA6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02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</w:t>
      </w:r>
      <w:r>
        <w:rPr>
          <w:rFonts w:ascii="Arial" w:hAnsi="Arial"/>
          <w:sz w:val="20"/>
        </w:rPr>
        <w:t>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y, dư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sinh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có văn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hành trong Lab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kèm theo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đã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20 chu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 ban hành kèm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5EF3F6B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nhân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nhân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toàn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504C138F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Các văn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ngoài.</w:t>
      </w:r>
    </w:p>
    <w:p w14:paraId="1197295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đó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cho phép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1.000 chu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vô sinh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y khoa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c.</w:t>
      </w:r>
    </w:p>
    <w:p w14:paraId="6F18F67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</w:t>
      </w:r>
      <w:r>
        <w:rPr>
          <w:rFonts w:ascii="Arial" w:hAnsi="Arial"/>
          <w:sz w:val="20"/>
        </w:rPr>
        <w:t xml:space="preserve"> thì cơ quan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đánh giá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quá trình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BB5397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cho phép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tinh trong 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</w:t>
      </w:r>
    </w:p>
    <w:p w14:paraId="626A16B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cho phép,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nh.</w:t>
      </w:r>
    </w:p>
    <w:p w14:paraId="384F6023" w14:textId="77777777" w:rsidR="009B5D47" w:rsidRDefault="009B5D47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AF75DAE" w14:textId="3A67B9CA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1ED189D8" w14:textId="77777777" w:rsidR="005F3281" w:rsidRDefault="007C11C1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MANG THAI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</w:p>
    <w:p w14:paraId="0E8E873F" w14:textId="77777777" w:rsidR="009B5D47" w:rsidRDefault="009B5D47" w:rsidP="00805B18">
      <w:pPr>
        <w:spacing w:after="0" w:line="240" w:lineRule="auto"/>
        <w:jc w:val="center"/>
      </w:pPr>
    </w:p>
    <w:p w14:paraId="67A1EEB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phép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mang thai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</w:p>
    <w:p w14:paraId="4A4F0A97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02 năm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trong đó 02 năm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tính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là 500 chu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năm.</w:t>
      </w:r>
    </w:p>
    <w:p w14:paraId="55561A39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ó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là bác sĩ chuyên khoa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tâm lý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chuyên khoa tâm lý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bác sĩ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tâm lý,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pháp lý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nhân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nhân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tâm lý,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pháp lý là nhân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là nhân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338CE9A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cho phép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khám b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nh, ch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nh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mang thai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</w:p>
    <w:p w14:paraId="155AD83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cho phép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trong đó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ng minh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12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5926846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cho phép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o.</w:t>
      </w:r>
    </w:p>
    <w:p w14:paraId="35B196D8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mang thai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vì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đích 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</w:t>
      </w:r>
    </w:p>
    <w:p w14:paraId="78F49DE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vô sinh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5B59B088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Đơn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II ban hành kèm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1AD62B8C" w14:textId="63D56091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C94F2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trú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bên mang tha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bên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thân thích cùng hàng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bên mang thai </w:t>
      </w:r>
      <w:r>
        <w:rPr>
          <w:rFonts w:ascii="Arial" w:hAnsi="Arial"/>
          <w:sz w:val="20"/>
        </w:rPr>
        <w:lastRenderedPageBreak/>
        <w:t>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bên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có liên quan có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và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xác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;</w:t>
      </w:r>
    </w:p>
    <w:p w14:paraId="2551610B" w14:textId="2321FCDA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đã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sinh con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sau: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khai sinh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sinh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C94F2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cư trú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</w:t>
      </w:r>
    </w:p>
    <w:p w14:paraId="3E04ABE7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96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Hôn nhân và Gia đình.</w:t>
      </w:r>
    </w:p>
    <w:p w14:paraId="54438CA4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Sau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khám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bên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mang thai và sinh con ngay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khi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</w:t>
      </w:r>
      <w:r>
        <w:rPr>
          <w:rFonts w:ascii="Arial" w:hAnsi="Arial"/>
          <w:sz w:val="20"/>
        </w:rPr>
        <w:t>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3E77539C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o:</w:t>
      </w:r>
    </w:p>
    <w:p w14:paraId="02CF4DF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cho các bên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tâm lý (l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và r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i ro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trong quá trình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), pháp lý (quy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bên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t);</w:t>
      </w:r>
    </w:p>
    <w:p w14:paraId="65EE7204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0798DE46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không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nêu rõ lý do.</w:t>
      </w:r>
    </w:p>
    <w:p w14:paraId="1D80C3E8" w14:textId="77777777" w:rsidR="009B5D47" w:rsidRDefault="009B5D47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E93CD3E" w14:textId="0CE738F5" w:rsidR="005F3281" w:rsidRDefault="007C11C1" w:rsidP="00805B18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IV </w:t>
      </w:r>
    </w:p>
    <w:p w14:paraId="573584A3" w14:textId="77777777" w:rsidR="005F3281" w:rsidRDefault="007C11C1" w:rsidP="00805B18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</w:t>
      </w:r>
      <w:r>
        <w:rPr>
          <w:rFonts w:ascii="Arial" w:hAnsi="Arial"/>
          <w:b/>
          <w:sz w:val="20"/>
        </w:rPr>
        <w:t>ÀNH</w:t>
      </w:r>
    </w:p>
    <w:p w14:paraId="3F80EA5F" w14:textId="77777777" w:rsidR="009B5D47" w:rsidRDefault="009B5D47" w:rsidP="00805B18">
      <w:pPr>
        <w:spacing w:after="0" w:line="240" w:lineRule="auto"/>
        <w:jc w:val="center"/>
      </w:pPr>
    </w:p>
    <w:p w14:paraId="3B2E3523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76B943F9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10 năm 2025.</w:t>
      </w:r>
    </w:p>
    <w:p w14:paraId="3C71938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sau đây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hành:</w:t>
      </w:r>
    </w:p>
    <w:p w14:paraId="6C349301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10/2015/NĐ-CP ngày 28 tháng 01 năm 2015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37F870B8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98/2016/NĐ-CP ngày 01 tháng 7 năm 2016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10/2015/NĐ-CP ngày 28</w:t>
      </w:r>
      <w:r>
        <w:rPr>
          <w:rFonts w:ascii="Arial" w:hAnsi="Arial"/>
          <w:sz w:val="20"/>
        </w:rPr>
        <w:t xml:space="preserve"> tháng 01 năm 2015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sinh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5109174A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155/2018/NĐ-CP ngày 12 tháng 11 năm 2018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kinh doanh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64CF408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9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96/2023/NĐ-CP ngày 30 tháng 12 năm 2023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nh.</w:t>
      </w:r>
    </w:p>
    <w:p w14:paraId="7DEC7D25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nh </w:t>
      </w:r>
      <w:r>
        <w:rPr>
          <w:rFonts w:ascii="Arial" w:hAnsi="Arial"/>
          <w:b/>
          <w:sz w:val="20"/>
        </w:rPr>
        <w:t>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7489F46B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6B729000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đã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nhưng chưa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xong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 N</w:t>
      </w:r>
      <w:r>
        <w:rPr>
          <w:rFonts w:ascii="Arial" w:hAnsi="Arial"/>
          <w:sz w:val="20"/>
        </w:rPr>
        <w:t>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50B35D4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3A1CDA29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m:</w:t>
      </w:r>
    </w:p>
    <w:p w14:paraId="7FEA300E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sơ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56428F22" w14:textId="77777777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dùng chung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thông t</w:t>
      </w:r>
      <w:r>
        <w:rPr>
          <w:rFonts w:ascii="Arial" w:hAnsi="Arial"/>
          <w:sz w:val="20"/>
        </w:rPr>
        <w:t>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noãn, phôi và mang thai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này,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noãn, phôi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279E38B" w14:textId="4FAC13DB" w:rsidR="005F3281" w:rsidRDefault="007C11C1" w:rsidP="00646A2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Ban hành quy trình chuyên môn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giao,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tinh trùng, noãn, phôi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tinh trùng, noãn, phôi;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tinh trùng, noãn, phôi;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u các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mà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tinh trong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sinh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291B1D52" w14:textId="694A8365" w:rsidR="005F3281" w:rsidRDefault="007C11C1" w:rsidP="00646A20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h </w:t>
      </w:r>
      <w:r w:rsidR="00C94F2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khác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6934C1A" w14:textId="77777777" w:rsidR="009B5D47" w:rsidRDefault="009B5D47" w:rsidP="00805B18">
      <w:pPr>
        <w:spacing w:after="0" w:line="240" w:lineRule="auto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5F3281" w14:paraId="6D56CB44" w14:textId="77777777" w:rsidTr="00805B18">
        <w:tc>
          <w:tcPr>
            <w:tcW w:w="2892" w:type="pct"/>
          </w:tcPr>
          <w:p w14:paraId="104093C1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18711919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45DCA095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3C095F6D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</w:t>
            </w:r>
            <w:r>
              <w:rPr>
                <w:rFonts w:ascii="Arial" w:hAnsi="Arial"/>
                <w:sz w:val="20"/>
              </w:rPr>
              <w:t>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4E9EB6A2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39D13D1E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2B2280B1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65AFC324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22DE28CD" w14:textId="076454A6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C94F20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3FD00974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2B077DD6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Tòa án nhân dâ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59733449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33A9C18B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1272AFFD" w14:textId="1A2A85C6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C94F20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54D6431E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 chính tr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- xã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3AD9B74E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VPCP: BTCN, các PCN,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TTg, TGĐ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TTĐT, các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c,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c, </w:t>
            </w:r>
            <w:r>
              <w:rPr>
                <w:rFonts w:ascii="Arial" w:hAnsi="Arial"/>
                <w:sz w:val="20"/>
              </w:rPr>
              <w:t>Công báo;</w:t>
            </w:r>
          </w:p>
          <w:p w14:paraId="4D5A0A45" w14:textId="77777777" w:rsidR="005F3281" w:rsidRDefault="007C11C1" w:rsidP="00805B18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 Lưu: VT, KGVX (2).</w:t>
            </w:r>
          </w:p>
        </w:tc>
        <w:tc>
          <w:tcPr>
            <w:tcW w:w="2108" w:type="pct"/>
          </w:tcPr>
          <w:p w14:paraId="1248D83A" w14:textId="77777777" w:rsidR="005F3281" w:rsidRDefault="007C11C1" w:rsidP="00805B18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TM. CHÍNH PH</w:t>
            </w:r>
            <w:r>
              <w:rPr>
                <w:rFonts w:ascii="Arial" w:hAnsi="Arial"/>
                <w:b/>
                <w:sz w:val="20"/>
              </w:rPr>
              <w:t>Ủ</w:t>
            </w:r>
          </w:p>
          <w:p w14:paraId="0F9BF6C6" w14:textId="77777777" w:rsidR="005F3281" w:rsidRDefault="007C11C1" w:rsidP="00805B18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KT.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PHÓ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Lê Thành Long</w:t>
            </w:r>
          </w:p>
        </w:tc>
      </w:tr>
    </w:tbl>
    <w:p w14:paraId="35C0D887" w14:textId="77777777" w:rsidR="001A5AD5" w:rsidRDefault="001A5AD5" w:rsidP="00646A20">
      <w:pPr>
        <w:spacing w:after="120" w:line="240" w:lineRule="auto"/>
        <w:ind w:firstLine="720"/>
        <w:jc w:val="both"/>
      </w:pPr>
    </w:p>
    <w:sectPr w:rsidR="001A5AD5" w:rsidSect="009B5D4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A97F9" w14:textId="77777777" w:rsidR="007C11C1" w:rsidRDefault="007C11C1">
      <w:pPr>
        <w:spacing w:after="0" w:line="240" w:lineRule="auto"/>
      </w:pPr>
      <w:r>
        <w:separator/>
      </w:r>
    </w:p>
  </w:endnote>
  <w:endnote w:type="continuationSeparator" w:id="0">
    <w:p w14:paraId="144868CC" w14:textId="77777777" w:rsidR="007C11C1" w:rsidRDefault="007C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5963" w14:textId="77777777" w:rsidR="007C11C1" w:rsidRDefault="007C11C1">
      <w:pPr>
        <w:spacing w:after="0" w:line="240" w:lineRule="auto"/>
      </w:pPr>
      <w:r>
        <w:separator/>
      </w:r>
    </w:p>
  </w:footnote>
  <w:footnote w:type="continuationSeparator" w:id="0">
    <w:p w14:paraId="64A0EEB5" w14:textId="77777777" w:rsidR="007C11C1" w:rsidRDefault="007C1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81"/>
    <w:rsid w:val="001A5AD5"/>
    <w:rsid w:val="002045C0"/>
    <w:rsid w:val="00313FB1"/>
    <w:rsid w:val="003451C0"/>
    <w:rsid w:val="00422D5F"/>
    <w:rsid w:val="005F3281"/>
    <w:rsid w:val="00646A20"/>
    <w:rsid w:val="007C11C1"/>
    <w:rsid w:val="007C1A41"/>
    <w:rsid w:val="00805B18"/>
    <w:rsid w:val="009B5D47"/>
    <w:rsid w:val="00BA7C75"/>
    <w:rsid w:val="00BD3D15"/>
    <w:rsid w:val="00C94F20"/>
    <w:rsid w:val="00F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04112"/>
  <w15:docId w15:val="{E6891B04-FF93-4E3D-92E6-6B419B4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D47"/>
  </w:style>
  <w:style w:type="paragraph" w:styleId="Footer">
    <w:name w:val="footer"/>
    <w:basedOn w:val="Normal"/>
    <w:link w:val="FooterChar"/>
    <w:uiPriority w:val="99"/>
    <w:unhideWhenUsed/>
    <w:rsid w:val="009B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3180</Words>
  <Characters>18128</Characters>
  <Application>Microsoft Office Word</Application>
  <DocSecurity>0</DocSecurity>
  <Lines>151</Lines>
  <Paragraphs>42</Paragraphs>
  <ScaleCrop>false</ScaleCrop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2025-07-18T09:39:00Z</dcterms:created>
  <dcterms:modified xsi:type="dcterms:W3CDTF">2025-07-22T08:07:00Z</dcterms:modified>
</cp:coreProperties>
</file>