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0"/>
        <w:gridCol w:w="5610"/>
      </w:tblGrid>
      <w:tr w:rsidR="00921F24" w:rsidRPr="00921F24" w:rsidTr="00256B83">
        <w:trPr>
          <w:trHeight w:val="920"/>
        </w:trPr>
        <w:tc>
          <w:tcPr>
            <w:tcW w:w="1890" w:type="pct"/>
            <w:shd w:val="clear" w:color="auto" w:fill="auto"/>
          </w:tcPr>
          <w:p w:rsidR="00921F24" w:rsidRPr="00921F24" w:rsidRDefault="00921F24" w:rsidP="00921F24">
            <w:pPr>
              <w:jc w:val="center"/>
              <w:rPr>
                <w:rFonts w:ascii="Arial" w:hAnsi="Arial" w:cs="Arial"/>
                <w:bCs/>
                <w:iCs/>
                <w:color w:val="000000" w:themeColor="text1"/>
                <w:sz w:val="20"/>
                <w:szCs w:val="20"/>
                <w:vertAlign w:val="superscript"/>
              </w:rPr>
            </w:pPr>
            <w:bookmarkStart w:id="0" w:name="bookmark0"/>
            <w:bookmarkStart w:id="1" w:name="bookmark1"/>
            <w:bookmarkStart w:id="2" w:name="bookmark2"/>
            <w:r w:rsidRPr="00921F24">
              <w:rPr>
                <w:rFonts w:ascii="Arial" w:hAnsi="Arial" w:cs="Arial"/>
                <w:b/>
                <w:iCs/>
                <w:color w:val="000000" w:themeColor="text1"/>
                <w:sz w:val="20"/>
                <w:szCs w:val="20"/>
              </w:rPr>
              <w:t xml:space="preserve">BỘ </w:t>
            </w:r>
            <w:r w:rsidRPr="00921F24">
              <w:rPr>
                <w:rFonts w:ascii="Arial" w:hAnsi="Arial" w:cs="Arial"/>
                <w:b/>
                <w:iCs/>
                <w:color w:val="000000" w:themeColor="text1"/>
                <w:sz w:val="20"/>
                <w:szCs w:val="20"/>
                <w:lang w:val="fr-FR"/>
              </w:rPr>
              <w:t>TÀI CHÍNH</w:t>
            </w:r>
            <w:r w:rsidRPr="00921F24">
              <w:rPr>
                <w:rFonts w:ascii="Arial" w:hAnsi="Arial" w:cs="Arial"/>
                <w:b/>
                <w:iCs/>
                <w:color w:val="000000" w:themeColor="text1"/>
                <w:sz w:val="20"/>
                <w:szCs w:val="20"/>
              </w:rPr>
              <w:br/>
            </w:r>
            <w:r w:rsidRPr="00921F24">
              <w:rPr>
                <w:rFonts w:ascii="Arial" w:hAnsi="Arial" w:cs="Arial"/>
                <w:bCs/>
                <w:iCs/>
                <w:color w:val="000000" w:themeColor="text1"/>
                <w:sz w:val="20"/>
                <w:szCs w:val="20"/>
                <w:vertAlign w:val="superscript"/>
              </w:rPr>
              <w:t>__________</w:t>
            </w:r>
          </w:p>
          <w:p w:rsidR="00921F24" w:rsidRPr="00921F24" w:rsidRDefault="00921F24" w:rsidP="00921F24">
            <w:pPr>
              <w:jc w:val="center"/>
              <w:rPr>
                <w:rFonts w:ascii="Arial" w:hAnsi="Arial" w:cs="Arial"/>
                <w:bCs/>
                <w:color w:val="000000" w:themeColor="text1"/>
                <w:sz w:val="20"/>
                <w:szCs w:val="20"/>
                <w:vertAlign w:val="superscript"/>
                <w:lang w:val="fr-FR"/>
              </w:rPr>
            </w:pPr>
            <w:r w:rsidRPr="00921F24">
              <w:rPr>
                <w:rFonts w:ascii="Arial" w:hAnsi="Arial" w:cs="Arial"/>
                <w:color w:val="000000" w:themeColor="text1"/>
                <w:sz w:val="20"/>
                <w:szCs w:val="20"/>
              </w:rPr>
              <w:t>Số: 0</w:t>
            </w:r>
            <w:r w:rsidRPr="00921F24">
              <w:rPr>
                <w:rFonts w:ascii="Arial" w:hAnsi="Arial" w:cs="Arial"/>
                <w:color w:val="000000" w:themeColor="text1"/>
                <w:sz w:val="20"/>
                <w:szCs w:val="20"/>
                <w:lang w:val="fr-FR"/>
              </w:rPr>
              <w:t>6</w:t>
            </w:r>
            <w:r w:rsidRPr="00921F24">
              <w:rPr>
                <w:rFonts w:ascii="Arial" w:hAnsi="Arial" w:cs="Arial"/>
                <w:color w:val="000000" w:themeColor="text1"/>
                <w:sz w:val="20"/>
                <w:szCs w:val="20"/>
              </w:rPr>
              <w:t>/2025/TT-B</w:t>
            </w:r>
            <w:r w:rsidRPr="00921F24">
              <w:rPr>
                <w:rFonts w:ascii="Arial" w:hAnsi="Arial" w:cs="Arial"/>
                <w:color w:val="000000" w:themeColor="text1"/>
                <w:sz w:val="20"/>
                <w:szCs w:val="20"/>
                <w:lang w:val="fr-FR"/>
              </w:rPr>
              <w:t>TC</w:t>
            </w:r>
          </w:p>
        </w:tc>
        <w:tc>
          <w:tcPr>
            <w:tcW w:w="3110" w:type="pct"/>
            <w:shd w:val="clear" w:color="auto" w:fill="auto"/>
          </w:tcPr>
          <w:p w:rsidR="00921F24" w:rsidRPr="00921F24" w:rsidRDefault="00921F24" w:rsidP="00921F24">
            <w:pPr>
              <w:jc w:val="center"/>
              <w:rPr>
                <w:rFonts w:ascii="Arial" w:hAnsi="Arial" w:cs="Arial"/>
                <w:bCs/>
                <w:iCs/>
                <w:color w:val="000000" w:themeColor="text1"/>
                <w:sz w:val="20"/>
                <w:szCs w:val="20"/>
                <w:vertAlign w:val="superscript"/>
              </w:rPr>
            </w:pPr>
            <w:r w:rsidRPr="00921F24">
              <w:rPr>
                <w:rFonts w:ascii="Arial" w:hAnsi="Arial" w:cs="Arial"/>
                <w:b/>
                <w:iCs/>
                <w:color w:val="000000" w:themeColor="text1"/>
                <w:sz w:val="20"/>
                <w:szCs w:val="20"/>
              </w:rPr>
              <w:t>CỘNG HÒA XÃ HỘI CHỦ NGHĨA VIỆT NAM</w:t>
            </w:r>
            <w:r w:rsidRPr="00921F24">
              <w:rPr>
                <w:rFonts w:ascii="Arial" w:hAnsi="Arial" w:cs="Arial"/>
                <w:b/>
                <w:iCs/>
                <w:color w:val="000000" w:themeColor="text1"/>
                <w:sz w:val="20"/>
                <w:szCs w:val="20"/>
              </w:rPr>
              <w:br/>
              <w:t xml:space="preserve">Độc lập - Tự do - Hạnh phúc </w:t>
            </w:r>
            <w:r w:rsidRPr="00921F24">
              <w:rPr>
                <w:rFonts w:ascii="Arial" w:hAnsi="Arial" w:cs="Arial"/>
                <w:b/>
                <w:iCs/>
                <w:color w:val="000000" w:themeColor="text1"/>
                <w:sz w:val="20"/>
                <w:szCs w:val="20"/>
              </w:rPr>
              <w:br/>
            </w:r>
            <w:r w:rsidRPr="00921F24">
              <w:rPr>
                <w:rFonts w:ascii="Arial" w:hAnsi="Arial" w:cs="Arial"/>
                <w:bCs/>
                <w:iCs/>
                <w:color w:val="000000" w:themeColor="text1"/>
                <w:sz w:val="20"/>
                <w:szCs w:val="20"/>
                <w:vertAlign w:val="superscript"/>
              </w:rPr>
              <w:t>______________________</w:t>
            </w:r>
          </w:p>
          <w:p w:rsidR="00921F24" w:rsidRPr="00921F24" w:rsidRDefault="00921F24" w:rsidP="00921F24">
            <w:pPr>
              <w:jc w:val="center"/>
              <w:rPr>
                <w:rFonts w:ascii="Arial" w:hAnsi="Arial" w:cs="Arial"/>
                <w:bCs/>
                <w:i/>
                <w:color w:val="000000" w:themeColor="text1"/>
                <w:sz w:val="20"/>
                <w:szCs w:val="20"/>
                <w:vertAlign w:val="superscript"/>
              </w:rPr>
            </w:pPr>
            <w:r w:rsidRPr="00921F24">
              <w:rPr>
                <w:rFonts w:ascii="Arial" w:hAnsi="Arial" w:cs="Arial"/>
                <w:i/>
                <w:color w:val="000000" w:themeColor="text1"/>
                <w:sz w:val="20"/>
                <w:szCs w:val="20"/>
              </w:rPr>
              <w:t>Hà Nội, ngày 24 tháng 01 năm 2025</w:t>
            </w:r>
          </w:p>
        </w:tc>
      </w:tr>
    </w:tbl>
    <w:p w:rsidR="00921F24" w:rsidRPr="00921F24" w:rsidRDefault="00921F24" w:rsidP="00921F24">
      <w:pPr>
        <w:jc w:val="center"/>
        <w:rPr>
          <w:rFonts w:ascii="Arial" w:hAnsi="Arial" w:cs="Arial"/>
          <w:b/>
          <w:bCs/>
          <w:color w:val="000000" w:themeColor="text1"/>
          <w:sz w:val="20"/>
          <w:szCs w:val="20"/>
        </w:rPr>
      </w:pPr>
    </w:p>
    <w:bookmarkEnd w:id="0"/>
    <w:bookmarkEnd w:id="1"/>
    <w:bookmarkEnd w:id="2"/>
    <w:p w:rsidR="00921F24" w:rsidRPr="00921F24" w:rsidRDefault="00921F24" w:rsidP="00921F24">
      <w:pPr>
        <w:jc w:val="center"/>
        <w:rPr>
          <w:rFonts w:ascii="Arial" w:hAnsi="Arial" w:cs="Arial"/>
          <w:b/>
          <w:bCs/>
          <w:color w:val="000000" w:themeColor="text1"/>
          <w:sz w:val="20"/>
          <w:szCs w:val="20"/>
        </w:rPr>
      </w:pPr>
    </w:p>
    <w:p w:rsidR="00921F24" w:rsidRPr="00921F24" w:rsidRDefault="00921F24" w:rsidP="00921F24">
      <w:pPr>
        <w:jc w:val="center"/>
        <w:rPr>
          <w:rFonts w:ascii="Arial" w:hAnsi="Arial" w:cs="Arial"/>
          <w:i/>
          <w:iCs/>
          <w:color w:val="000000" w:themeColor="text1"/>
          <w:sz w:val="20"/>
          <w:szCs w:val="20"/>
        </w:rPr>
      </w:pPr>
      <w:r w:rsidRPr="00921F24">
        <w:rPr>
          <w:rFonts w:ascii="Arial" w:hAnsi="Arial" w:cs="Arial"/>
          <w:b/>
          <w:bCs/>
          <w:color w:val="000000" w:themeColor="text1"/>
          <w:sz w:val="20"/>
          <w:szCs w:val="20"/>
        </w:rPr>
        <w:t>THÔNG TƯ</w:t>
      </w:r>
    </w:p>
    <w:p w:rsidR="00921F24" w:rsidRPr="00921F24" w:rsidRDefault="00921F24" w:rsidP="00921F24">
      <w:pPr>
        <w:jc w:val="center"/>
        <w:rPr>
          <w:rFonts w:ascii="Arial" w:hAnsi="Arial" w:cs="Arial"/>
          <w:b/>
          <w:bCs/>
          <w:color w:val="000000" w:themeColor="text1"/>
          <w:sz w:val="20"/>
          <w:szCs w:val="20"/>
        </w:rPr>
      </w:pPr>
      <w:r w:rsidRPr="00921F24">
        <w:rPr>
          <w:rFonts w:ascii="Arial" w:hAnsi="Arial" w:cs="Arial"/>
          <w:b/>
          <w:bCs/>
          <w:color w:val="000000" w:themeColor="text1"/>
          <w:sz w:val="20"/>
          <w:szCs w:val="20"/>
        </w:rPr>
        <w:t>Sửa đổi, bổ sung một số điều của các Thông tư</w:t>
      </w:r>
      <w:r w:rsidRPr="00921F24">
        <w:rPr>
          <w:rFonts w:ascii="Arial" w:hAnsi="Arial" w:cs="Arial"/>
          <w:b/>
          <w:bCs/>
          <w:color w:val="000000" w:themeColor="text1"/>
          <w:sz w:val="20"/>
          <w:szCs w:val="20"/>
        </w:rPr>
        <w:br/>
        <w:t>của Bộ trưởng Bộ Tài chính quy định về phí, lệ phí</w:t>
      </w:r>
    </w:p>
    <w:p w:rsidR="00921F24" w:rsidRPr="00921F24" w:rsidRDefault="00921F24" w:rsidP="00921F24">
      <w:pPr>
        <w:jc w:val="center"/>
        <w:rPr>
          <w:rFonts w:ascii="Arial" w:hAnsi="Arial" w:cs="Arial"/>
          <w:bCs/>
          <w:iCs/>
          <w:color w:val="000000" w:themeColor="text1"/>
          <w:sz w:val="20"/>
          <w:szCs w:val="20"/>
          <w:vertAlign w:val="superscript"/>
        </w:rPr>
      </w:pPr>
      <w:r w:rsidRPr="00921F24">
        <w:rPr>
          <w:rFonts w:ascii="Arial" w:hAnsi="Arial" w:cs="Arial"/>
          <w:bCs/>
          <w:iCs/>
          <w:color w:val="000000" w:themeColor="text1"/>
          <w:sz w:val="20"/>
          <w:szCs w:val="20"/>
          <w:vertAlign w:val="superscript"/>
        </w:rPr>
        <w:t>__________</w:t>
      </w:r>
    </w:p>
    <w:p w:rsidR="00921F24" w:rsidRPr="00921F24" w:rsidRDefault="00921F24" w:rsidP="00921F24">
      <w:pPr>
        <w:jc w:val="center"/>
        <w:rPr>
          <w:rFonts w:ascii="Arial" w:hAnsi="Arial" w:cs="Arial"/>
          <w:i/>
          <w:iCs/>
          <w:color w:val="000000" w:themeColor="text1"/>
          <w:sz w:val="20"/>
          <w:szCs w:val="20"/>
        </w:rPr>
      </w:pP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Căn cứ Luật Phí và lệ phí ngày 25 tháng 11 năm 2015;</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Căn cứ Nghị định số 14/2023/NĐ-CP ngày 20 tháng 4 năm 2023 của Chính phủ quy định chức năng, nhiệm vụ, quyền hạn và cơ cấu tổ chức của Bộ Tài chính;</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Theo đề nghị của Cục trưởng Cục Quản lý, giám sát chính sách thuế, phí và lệ phí;</w:t>
      </w:r>
    </w:p>
    <w:p w:rsidR="00921F24" w:rsidRDefault="00921F24" w:rsidP="00921F24">
      <w:pPr>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Bộ trưởng Bộ Tài chính ban hành Thông tư sửa đổi, bổ sung một số điều của các Thông tư của Bộ trưởng Bộ Tài chính quy định về phí, lệ phí.</w:t>
      </w:r>
    </w:p>
    <w:p w:rsidR="00921F24" w:rsidRPr="00921F24" w:rsidRDefault="00921F24" w:rsidP="00921F24">
      <w:pPr>
        <w:ind w:firstLine="720"/>
        <w:jc w:val="both"/>
        <w:rPr>
          <w:rFonts w:ascii="Arial" w:hAnsi="Arial" w:cs="Arial"/>
          <w:i/>
          <w:iCs/>
          <w:color w:val="000000" w:themeColor="text1"/>
          <w:sz w:val="20"/>
          <w:szCs w:val="20"/>
        </w:rPr>
      </w:pP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b/>
          <w:bCs/>
          <w:color w:val="000000" w:themeColor="text1"/>
          <w:sz w:val="20"/>
          <w:szCs w:val="20"/>
        </w:rPr>
        <w:t>Điều 1. Sửa đổi, bổ sung quy định về tổ chức thu phí, lệ phí tại các Thông tư của Bộ trưởng Bộ Tài chính quy định về phí, lệ phí</w:t>
      </w:r>
    </w:p>
    <w:p w:rsidR="00921F24" w:rsidRPr="00921F24" w:rsidRDefault="00921F24" w:rsidP="00921F24">
      <w:pPr>
        <w:spacing w:after="120"/>
        <w:ind w:firstLine="720"/>
        <w:jc w:val="both"/>
        <w:rPr>
          <w:rFonts w:ascii="Arial" w:hAnsi="Arial" w:cs="Arial"/>
          <w:i/>
          <w:iCs/>
          <w:color w:val="000000" w:themeColor="text1"/>
          <w:sz w:val="20"/>
          <w:szCs w:val="20"/>
        </w:rPr>
      </w:pPr>
      <w:bookmarkStart w:id="3" w:name="bookmark3"/>
      <w:bookmarkEnd w:id="3"/>
      <w:r w:rsidRPr="00921F24">
        <w:rPr>
          <w:rFonts w:ascii="Arial" w:hAnsi="Arial" w:cs="Arial"/>
          <w:color w:val="000000" w:themeColor="text1"/>
          <w:sz w:val="20"/>
          <w:szCs w:val="20"/>
        </w:rPr>
        <w:t>1. Sửa đổi, bổ sung Điều 3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như sau:</w:t>
      </w:r>
    </w:p>
    <w:p w:rsidR="00921F24" w:rsidRPr="00921F24" w:rsidRDefault="00921F24" w:rsidP="00921F24">
      <w:pPr>
        <w:spacing w:after="120"/>
        <w:ind w:firstLine="720"/>
        <w:jc w:val="both"/>
        <w:rPr>
          <w:rFonts w:ascii="Arial" w:hAnsi="Arial" w:cs="Arial"/>
          <w:b/>
          <w:i/>
          <w:iCs/>
          <w:color w:val="000000" w:themeColor="text1"/>
          <w:sz w:val="20"/>
          <w:szCs w:val="20"/>
        </w:rPr>
      </w:pPr>
      <w:r w:rsidRPr="00921F24">
        <w:rPr>
          <w:rFonts w:ascii="Arial" w:hAnsi="Arial" w:cs="Arial"/>
          <w:i/>
          <w:iCs/>
          <w:color w:val="000000" w:themeColor="text1"/>
          <w:sz w:val="20"/>
          <w:szCs w:val="20"/>
        </w:rPr>
        <w:t>“</w:t>
      </w:r>
      <w:r w:rsidRPr="00921F24">
        <w:rPr>
          <w:rFonts w:ascii="Arial" w:hAnsi="Arial" w:cs="Arial"/>
          <w:b/>
          <w:i/>
          <w:iCs/>
          <w:color w:val="000000" w:themeColor="text1"/>
          <w:sz w:val="20"/>
          <w:szCs w:val="20"/>
        </w:rPr>
        <w:t>Điều 3. Tổ chức thu phí, lệ phí</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Cơ quan nhà nước có thẩm quyền thẩm định cấp Giấy phép kinh doanh dịch vụ lữ hành quốc tế, Giấy phép kinh doanh dịch vụ lữ hành nội địa, thẻ hướng dẫn viên du lịch, Giấy phép thành lập văn phòng đại diện tại Việt Nam của doanh nghiệp kinh doanh dịch vụ lữ hành nước ngoài theo quy định của pháp luật là tổ chức thu phí, lệ phí theo quy định tại Thông tư này.”</w:t>
      </w:r>
    </w:p>
    <w:p w:rsidR="00921F24" w:rsidRPr="00921F24" w:rsidRDefault="00921F24" w:rsidP="00921F24">
      <w:pPr>
        <w:spacing w:after="120"/>
        <w:ind w:firstLine="720"/>
        <w:jc w:val="both"/>
        <w:rPr>
          <w:rFonts w:ascii="Arial" w:hAnsi="Arial" w:cs="Arial"/>
          <w:i/>
          <w:iCs/>
          <w:color w:val="000000" w:themeColor="text1"/>
          <w:sz w:val="20"/>
          <w:szCs w:val="20"/>
        </w:rPr>
      </w:pPr>
      <w:bookmarkStart w:id="4" w:name="bookmark4"/>
      <w:bookmarkEnd w:id="4"/>
      <w:r w:rsidRPr="00921F24">
        <w:rPr>
          <w:rFonts w:ascii="Arial" w:hAnsi="Arial" w:cs="Arial"/>
          <w:color w:val="000000" w:themeColor="text1"/>
          <w:sz w:val="20"/>
          <w:szCs w:val="20"/>
        </w:rPr>
        <w:t>2. Sửa đổi, bổ sung Điều 3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như sau:</w:t>
      </w:r>
    </w:p>
    <w:p w:rsidR="00921F24" w:rsidRPr="00921F24" w:rsidRDefault="00921F24" w:rsidP="00921F24">
      <w:pPr>
        <w:spacing w:after="120"/>
        <w:ind w:firstLine="720"/>
        <w:jc w:val="both"/>
        <w:rPr>
          <w:rFonts w:ascii="Arial" w:hAnsi="Arial" w:cs="Arial"/>
          <w:b/>
          <w:i/>
          <w:iCs/>
          <w:color w:val="000000" w:themeColor="text1"/>
          <w:sz w:val="20"/>
          <w:szCs w:val="20"/>
        </w:rPr>
      </w:pPr>
      <w:r w:rsidRPr="00921F24">
        <w:rPr>
          <w:rFonts w:ascii="Arial" w:hAnsi="Arial" w:cs="Arial"/>
          <w:i/>
          <w:iCs/>
          <w:color w:val="000000" w:themeColor="text1"/>
          <w:sz w:val="20"/>
          <w:szCs w:val="20"/>
        </w:rPr>
        <w:t>“</w:t>
      </w:r>
      <w:r w:rsidRPr="00921F24">
        <w:rPr>
          <w:rFonts w:ascii="Arial" w:hAnsi="Arial" w:cs="Arial"/>
          <w:b/>
          <w:i/>
          <w:iCs/>
          <w:color w:val="000000" w:themeColor="text1"/>
          <w:sz w:val="20"/>
          <w:szCs w:val="20"/>
        </w:rPr>
        <w:t>Điều 3. Tổ chức thu phí</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Cơ quan nhà nước có thẩm quyền thẩm định công nhận hạng cơ sở lưu trú du lịch, cơ sở kinh doanh dịch vụ du lịch khác đạt tiêu chuẩn phục vụ khách du lịch theo quy định của pháp luật là tổ chức thu phí theo quy định tại Thông tư này.”</w:t>
      </w:r>
    </w:p>
    <w:p w:rsidR="00921F24" w:rsidRPr="00921F24" w:rsidRDefault="00921F24" w:rsidP="00921F24">
      <w:pPr>
        <w:spacing w:after="120"/>
        <w:ind w:firstLine="720"/>
        <w:jc w:val="both"/>
        <w:rPr>
          <w:rFonts w:ascii="Arial" w:hAnsi="Arial" w:cs="Arial"/>
          <w:i/>
          <w:iCs/>
          <w:color w:val="000000" w:themeColor="text1"/>
          <w:sz w:val="20"/>
          <w:szCs w:val="20"/>
        </w:rPr>
      </w:pPr>
      <w:bookmarkStart w:id="5" w:name="bookmark5"/>
      <w:bookmarkEnd w:id="5"/>
      <w:r w:rsidRPr="00921F24">
        <w:rPr>
          <w:rFonts w:ascii="Arial" w:hAnsi="Arial" w:cs="Arial"/>
          <w:color w:val="000000" w:themeColor="text1"/>
          <w:sz w:val="20"/>
          <w:szCs w:val="20"/>
        </w:rPr>
        <w:t>3. Sửa đổi, bổ sung khoản 1, khoản 2 Điều 3 Thông tư số 94/2021/TT-BTC ngày 02 tháng 11 năm 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 như sau:</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“1. Các cơ sở đăng kiểm tàu cá được cơ quan nhà nước có thẩm quyền cấp giấy chứng nhận cơ sở đủ điều kiện đăng kiểm tàu cá theo quy định của pháp luật là tổ chức thu phí đăng kiểm an toàn kỹ thuật tàu cá, kiểm định trang thiết bị nghề cá theo quy định tại Thông tư này.</w:t>
      </w:r>
    </w:p>
    <w:p w:rsidR="00921F24" w:rsidRPr="00921F24" w:rsidRDefault="00921F24" w:rsidP="00921F24">
      <w:pPr>
        <w:spacing w:after="120"/>
        <w:ind w:firstLine="720"/>
        <w:jc w:val="both"/>
        <w:rPr>
          <w:rFonts w:ascii="Arial" w:hAnsi="Arial" w:cs="Arial"/>
          <w:i/>
          <w:iCs/>
          <w:color w:val="000000" w:themeColor="text1"/>
          <w:sz w:val="20"/>
          <w:szCs w:val="20"/>
        </w:rPr>
      </w:pPr>
      <w:bookmarkStart w:id="6" w:name="bookmark6"/>
      <w:bookmarkEnd w:id="6"/>
      <w:r w:rsidRPr="00921F24">
        <w:rPr>
          <w:rFonts w:ascii="Arial" w:hAnsi="Arial" w:cs="Arial"/>
          <w:i/>
          <w:iCs/>
          <w:color w:val="000000" w:themeColor="text1"/>
          <w:sz w:val="20"/>
          <w:szCs w:val="20"/>
        </w:rPr>
        <w:t xml:space="preserve">2. Cơ quan nhà nước có thẩm quyền thẩm định kinh doanh có điều kiện thuộc lĩnh vực thủy sản (thẩm định cấp giấy chứng nhận cơ sở đủ điều kiện đăng kiểm tàu cá) và cấp giấy phép hoạt động thủy sản cho tàu cá nước ngoài hoạt động thủy sản trong vùng biển Việt Nam theo quy định của pháp </w:t>
      </w:r>
      <w:bookmarkStart w:id="7" w:name="_GoBack"/>
      <w:r w:rsidRPr="00921F24">
        <w:rPr>
          <w:rFonts w:ascii="Arial" w:hAnsi="Arial" w:cs="Arial"/>
          <w:i/>
          <w:iCs/>
          <w:color w:val="000000" w:themeColor="text1"/>
          <w:sz w:val="20"/>
          <w:szCs w:val="20"/>
        </w:rPr>
        <w:lastRenderedPageBreak/>
        <w:t xml:space="preserve">luật là tổ chức thu phí thẩm định kinh doanh có điều kiện thuộc lĩnh vực thủy sản và lệ phí cấp giấy </w:t>
      </w:r>
      <w:bookmarkEnd w:id="7"/>
      <w:r w:rsidRPr="00921F24">
        <w:rPr>
          <w:rFonts w:ascii="Arial" w:hAnsi="Arial" w:cs="Arial"/>
          <w:i/>
          <w:iCs/>
          <w:color w:val="000000" w:themeColor="text1"/>
          <w:sz w:val="20"/>
          <w:szCs w:val="20"/>
        </w:rPr>
        <w:t>phép hoạt động thủy sản theo quy định tại Thông tư này.”</w:t>
      </w:r>
    </w:p>
    <w:p w:rsidR="00921F24" w:rsidRPr="00921F24" w:rsidRDefault="00921F24" w:rsidP="00921F24">
      <w:pPr>
        <w:spacing w:after="120"/>
        <w:ind w:firstLine="720"/>
        <w:jc w:val="both"/>
        <w:rPr>
          <w:rFonts w:ascii="Arial" w:hAnsi="Arial" w:cs="Arial"/>
          <w:i/>
          <w:iCs/>
          <w:color w:val="000000" w:themeColor="text1"/>
          <w:sz w:val="20"/>
          <w:szCs w:val="20"/>
        </w:rPr>
      </w:pPr>
      <w:bookmarkStart w:id="8" w:name="bookmark7"/>
      <w:bookmarkEnd w:id="8"/>
      <w:r w:rsidRPr="00921F24">
        <w:rPr>
          <w:rFonts w:ascii="Arial" w:hAnsi="Arial" w:cs="Arial"/>
          <w:color w:val="000000" w:themeColor="text1"/>
          <w:sz w:val="20"/>
          <w:szCs w:val="20"/>
        </w:rPr>
        <w:t>4. Sửa đổi, bổ sung Điều 3 Thông tư số 112/2021/TT-BTC ngày 15 tháng 12 năm 2021 của Bộ trưởng Bộ Tài chính quy định mức thu, chế độ thu, nộp, quản lý và sử dụng phí trong lĩnh vực quản lý nuôi trồng thủy sản như sau:</w:t>
      </w:r>
    </w:p>
    <w:p w:rsidR="00921F24" w:rsidRPr="00921F24" w:rsidRDefault="00921F24" w:rsidP="00921F24">
      <w:pPr>
        <w:spacing w:after="120"/>
        <w:ind w:firstLine="720"/>
        <w:jc w:val="both"/>
        <w:rPr>
          <w:rFonts w:ascii="Arial" w:hAnsi="Arial" w:cs="Arial"/>
          <w:b/>
          <w:i/>
          <w:iCs/>
          <w:color w:val="000000" w:themeColor="text1"/>
          <w:sz w:val="20"/>
          <w:szCs w:val="20"/>
        </w:rPr>
      </w:pPr>
      <w:r w:rsidRPr="00921F24">
        <w:rPr>
          <w:rFonts w:ascii="Arial" w:hAnsi="Arial" w:cs="Arial"/>
          <w:i/>
          <w:iCs/>
          <w:color w:val="000000" w:themeColor="text1"/>
          <w:sz w:val="20"/>
          <w:szCs w:val="20"/>
        </w:rPr>
        <w:t>“</w:t>
      </w:r>
      <w:r w:rsidRPr="00921F24">
        <w:rPr>
          <w:rFonts w:ascii="Arial" w:hAnsi="Arial" w:cs="Arial"/>
          <w:b/>
          <w:i/>
          <w:iCs/>
          <w:color w:val="000000" w:themeColor="text1"/>
          <w:sz w:val="20"/>
          <w:szCs w:val="20"/>
        </w:rPr>
        <w:t>Điều 3. Tổ chức thu phí</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Cơ quan nhà nước, đơn vị sự nghiệp công lập có thẩm quyền thực hiện thẩm định cấp giấy chứng nhận vật tư thủy sản, thẩm định kinh doanh có điều kiện thuộc lĩnh vực thủy sản, thẩm định công nhận hoặc chỉ định, giám sát phòng kiểm nghiệm, phòng thử nghiệm trong lĩnh vực thủy sản theo quy định của pháp luật là tổ chức thu phí theo quy định tại Thông tư này.”</w:t>
      </w:r>
    </w:p>
    <w:p w:rsidR="00921F24" w:rsidRPr="00921F24" w:rsidRDefault="00921F24" w:rsidP="00921F24">
      <w:pPr>
        <w:spacing w:after="120"/>
        <w:ind w:firstLine="720"/>
        <w:jc w:val="both"/>
        <w:rPr>
          <w:rFonts w:ascii="Arial" w:hAnsi="Arial" w:cs="Arial"/>
          <w:i/>
          <w:iCs/>
          <w:color w:val="000000" w:themeColor="text1"/>
          <w:sz w:val="20"/>
          <w:szCs w:val="20"/>
        </w:rPr>
      </w:pPr>
      <w:bookmarkStart w:id="9" w:name="bookmark8"/>
      <w:bookmarkEnd w:id="9"/>
      <w:r w:rsidRPr="00921F24">
        <w:rPr>
          <w:rFonts w:ascii="Arial" w:hAnsi="Arial" w:cs="Arial"/>
          <w:color w:val="000000" w:themeColor="text1"/>
          <w:sz w:val="20"/>
          <w:szCs w:val="20"/>
        </w:rPr>
        <w:t>5. Sửa đổi, bổ sung khoản 2 Điều 2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 như sau:</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i/>
          <w:iCs/>
          <w:color w:val="000000" w:themeColor="text1"/>
          <w:sz w:val="20"/>
          <w:szCs w:val="20"/>
        </w:rPr>
        <w:t>“2. Cơ quan nhà nước có thẩm quyền thực hiện cấp chứng nhận đăng ký, biển xe máy chuyên dùng, cấp bằng, chứng chỉ được hoạt động trên các loại phương tiện và sát hạch để được cấp giấy phép lái xe cơ giới đường bộ theo quy định của pháp luật là tổ chức thu phí, lệ phí theo quy định tại Thông tư này.”</w:t>
      </w:r>
    </w:p>
    <w:p w:rsidR="00921F24" w:rsidRPr="00921F24" w:rsidRDefault="00921F24" w:rsidP="00921F24">
      <w:pPr>
        <w:spacing w:after="120"/>
        <w:ind w:firstLine="720"/>
        <w:jc w:val="both"/>
        <w:rPr>
          <w:rFonts w:ascii="Arial" w:hAnsi="Arial" w:cs="Arial"/>
          <w:i/>
          <w:iCs/>
          <w:color w:val="000000" w:themeColor="text1"/>
          <w:sz w:val="20"/>
          <w:szCs w:val="20"/>
        </w:rPr>
      </w:pPr>
      <w:r w:rsidRPr="00921F24">
        <w:rPr>
          <w:rFonts w:ascii="Arial" w:hAnsi="Arial" w:cs="Arial"/>
          <w:b/>
          <w:bCs/>
          <w:color w:val="000000" w:themeColor="text1"/>
          <w:sz w:val="20"/>
          <w:szCs w:val="20"/>
        </w:rPr>
        <w:t>Điều 2. Điều khoản thi hành</w:t>
      </w:r>
    </w:p>
    <w:p w:rsidR="00921F24" w:rsidRPr="00921F24" w:rsidRDefault="00921F24" w:rsidP="00921F24">
      <w:pPr>
        <w:spacing w:after="120"/>
        <w:ind w:firstLine="720"/>
        <w:jc w:val="both"/>
        <w:rPr>
          <w:rFonts w:ascii="Arial" w:hAnsi="Arial" w:cs="Arial"/>
          <w:i/>
          <w:iCs/>
          <w:color w:val="000000" w:themeColor="text1"/>
          <w:sz w:val="20"/>
          <w:szCs w:val="20"/>
        </w:rPr>
      </w:pPr>
      <w:bookmarkStart w:id="10" w:name="bookmark9"/>
      <w:bookmarkEnd w:id="10"/>
      <w:r w:rsidRPr="00921F24">
        <w:rPr>
          <w:rFonts w:ascii="Arial" w:hAnsi="Arial" w:cs="Arial"/>
          <w:color w:val="000000" w:themeColor="text1"/>
          <w:sz w:val="20"/>
          <w:szCs w:val="20"/>
        </w:rPr>
        <w:t>1. Thông tư này có hiệu lực thi hành kể từ ngày 10 tháng 3 năm 2025.</w:t>
      </w:r>
    </w:p>
    <w:p w:rsidR="00921F24" w:rsidRPr="00921F24" w:rsidRDefault="00921F24" w:rsidP="00921F24">
      <w:pPr>
        <w:spacing w:after="120"/>
        <w:ind w:firstLine="720"/>
        <w:jc w:val="both"/>
        <w:rPr>
          <w:rFonts w:ascii="Arial" w:hAnsi="Arial" w:cs="Arial"/>
          <w:i/>
          <w:iCs/>
          <w:color w:val="000000" w:themeColor="text1"/>
          <w:sz w:val="20"/>
          <w:szCs w:val="20"/>
        </w:rPr>
      </w:pPr>
      <w:bookmarkStart w:id="11" w:name="bookmark10"/>
      <w:bookmarkEnd w:id="11"/>
      <w:r w:rsidRPr="00921F24">
        <w:rPr>
          <w:rFonts w:ascii="Arial" w:hAnsi="Arial" w:cs="Arial"/>
          <w:color w:val="000000" w:themeColor="text1"/>
          <w:sz w:val="20"/>
          <w:szCs w:val="20"/>
        </w:rPr>
        <w:t>2. Trường hợp các văn bản quy phạm pháp luật nêu tại Thông tư này được sửa đổi, bổ sung hoặc thay thế thì thực hiện theo văn bản mới được sửa đổi, bổ sung hoặc thay thế.</w:t>
      </w:r>
    </w:p>
    <w:p w:rsidR="00921F24" w:rsidRPr="00921F24" w:rsidRDefault="00921F24" w:rsidP="00921F24">
      <w:pPr>
        <w:ind w:firstLine="720"/>
        <w:jc w:val="both"/>
        <w:rPr>
          <w:rFonts w:ascii="Arial" w:hAnsi="Arial" w:cs="Arial"/>
          <w:color w:val="000000" w:themeColor="text1"/>
          <w:sz w:val="20"/>
          <w:szCs w:val="20"/>
        </w:rPr>
      </w:pPr>
      <w:bookmarkStart w:id="12" w:name="bookmark11"/>
      <w:bookmarkEnd w:id="12"/>
      <w:r w:rsidRPr="00921F24">
        <w:rPr>
          <w:rFonts w:ascii="Arial" w:hAnsi="Arial" w:cs="Arial"/>
          <w:color w:val="000000" w:themeColor="text1"/>
          <w:sz w:val="20"/>
          <w:szCs w:val="20"/>
        </w:rPr>
        <w:t>3. Trong quá trình thực hiện, nếu có vướng mắc đề nghị các tổ chức, cá nhân phản ánh kịp thời về Bộ Tài chính để nghiên cứu, hướng dẫn bổ sung./.</w:t>
      </w:r>
    </w:p>
    <w:p w:rsidR="00921F24" w:rsidRPr="00921F24" w:rsidRDefault="00921F24" w:rsidP="00921F24">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921F24" w:rsidRPr="00921F24" w:rsidTr="00256B83">
        <w:tc>
          <w:tcPr>
            <w:tcW w:w="2500" w:type="pct"/>
          </w:tcPr>
          <w:p w:rsidR="00921F24" w:rsidRPr="00921F24" w:rsidRDefault="00921F24" w:rsidP="00921F24">
            <w:pPr>
              <w:rPr>
                <w:rFonts w:ascii="Arial" w:hAnsi="Arial" w:cs="Arial"/>
                <w:i/>
                <w:iCs/>
                <w:color w:val="000000" w:themeColor="text1"/>
                <w:sz w:val="20"/>
                <w:szCs w:val="20"/>
              </w:rPr>
            </w:pPr>
            <w:r w:rsidRPr="00921F24">
              <w:rPr>
                <w:rFonts w:ascii="Arial" w:hAnsi="Arial" w:cs="Arial"/>
                <w:b/>
                <w:bCs/>
                <w:i/>
                <w:iCs/>
                <w:color w:val="000000" w:themeColor="text1"/>
                <w:sz w:val="20"/>
                <w:szCs w:val="20"/>
              </w:rPr>
              <w:t>Nơi nhận:</w:t>
            </w:r>
          </w:p>
          <w:p w:rsidR="00921F24" w:rsidRPr="00921F24" w:rsidRDefault="00921F24" w:rsidP="00921F24">
            <w:pPr>
              <w:rPr>
                <w:rFonts w:ascii="Arial" w:hAnsi="Arial" w:cs="Arial"/>
                <w:color w:val="000000" w:themeColor="text1"/>
                <w:sz w:val="20"/>
                <w:szCs w:val="20"/>
              </w:rPr>
            </w:pPr>
            <w:bookmarkStart w:id="13" w:name="bookmark12"/>
            <w:bookmarkEnd w:id="13"/>
            <w:r w:rsidRPr="00921F24">
              <w:rPr>
                <w:rFonts w:ascii="Arial" w:hAnsi="Arial" w:cs="Arial"/>
                <w:color w:val="000000" w:themeColor="text1"/>
                <w:sz w:val="20"/>
                <w:szCs w:val="20"/>
              </w:rPr>
              <w:t>- Ban Bí thư Trung ương Đảng;</w:t>
            </w:r>
          </w:p>
          <w:p w:rsidR="00921F24" w:rsidRPr="00921F24" w:rsidRDefault="00921F24" w:rsidP="00921F24">
            <w:pPr>
              <w:rPr>
                <w:rFonts w:ascii="Arial" w:hAnsi="Arial" w:cs="Arial"/>
                <w:color w:val="000000" w:themeColor="text1"/>
                <w:sz w:val="20"/>
                <w:szCs w:val="20"/>
              </w:rPr>
            </w:pPr>
            <w:bookmarkStart w:id="14" w:name="bookmark13"/>
            <w:bookmarkEnd w:id="14"/>
            <w:r w:rsidRPr="00921F24">
              <w:rPr>
                <w:rFonts w:ascii="Arial" w:hAnsi="Arial" w:cs="Arial"/>
                <w:color w:val="000000" w:themeColor="text1"/>
                <w:sz w:val="20"/>
                <w:szCs w:val="20"/>
              </w:rPr>
              <w:t>- Thủ tướng, các Phó Thủ tướng Chính phủ;</w:t>
            </w:r>
          </w:p>
          <w:p w:rsidR="00921F24" w:rsidRPr="00921F24" w:rsidRDefault="00921F24" w:rsidP="00921F24">
            <w:pPr>
              <w:rPr>
                <w:rFonts w:ascii="Arial" w:hAnsi="Arial" w:cs="Arial"/>
                <w:color w:val="000000" w:themeColor="text1"/>
                <w:sz w:val="20"/>
                <w:szCs w:val="20"/>
              </w:rPr>
            </w:pPr>
            <w:bookmarkStart w:id="15" w:name="bookmark14"/>
            <w:bookmarkEnd w:id="15"/>
            <w:r w:rsidRPr="00921F24">
              <w:rPr>
                <w:rFonts w:ascii="Arial" w:hAnsi="Arial" w:cs="Arial"/>
                <w:color w:val="000000" w:themeColor="text1"/>
                <w:sz w:val="20"/>
                <w:szCs w:val="20"/>
              </w:rPr>
              <w:t>- Văn phòng Trung ương Đảng và các Ban của Đảng;</w:t>
            </w:r>
          </w:p>
          <w:p w:rsidR="00921F24" w:rsidRPr="00921F24" w:rsidRDefault="00921F24" w:rsidP="00921F24">
            <w:pPr>
              <w:rPr>
                <w:rFonts w:ascii="Arial" w:hAnsi="Arial" w:cs="Arial"/>
                <w:color w:val="000000" w:themeColor="text1"/>
                <w:sz w:val="20"/>
                <w:szCs w:val="20"/>
              </w:rPr>
            </w:pPr>
            <w:bookmarkStart w:id="16" w:name="bookmark15"/>
            <w:bookmarkEnd w:id="16"/>
            <w:r w:rsidRPr="00921F24">
              <w:rPr>
                <w:rFonts w:ascii="Arial" w:hAnsi="Arial" w:cs="Arial"/>
                <w:color w:val="000000" w:themeColor="text1"/>
                <w:sz w:val="20"/>
                <w:szCs w:val="20"/>
              </w:rPr>
              <w:t>- Văn phòng Tổng Bí thư;</w:t>
            </w:r>
          </w:p>
          <w:p w:rsidR="00921F24" w:rsidRPr="00921F24" w:rsidRDefault="00921F24" w:rsidP="00921F24">
            <w:pPr>
              <w:rPr>
                <w:rFonts w:ascii="Arial" w:hAnsi="Arial" w:cs="Arial"/>
                <w:color w:val="000000" w:themeColor="text1"/>
                <w:sz w:val="20"/>
                <w:szCs w:val="20"/>
              </w:rPr>
            </w:pPr>
            <w:bookmarkStart w:id="17" w:name="bookmark16"/>
            <w:bookmarkEnd w:id="17"/>
            <w:r w:rsidRPr="00921F24">
              <w:rPr>
                <w:rFonts w:ascii="Arial" w:hAnsi="Arial" w:cs="Arial"/>
                <w:color w:val="000000" w:themeColor="text1"/>
                <w:sz w:val="20"/>
                <w:szCs w:val="20"/>
              </w:rPr>
              <w:t>- Văn phòng Quốc hội;</w:t>
            </w:r>
          </w:p>
          <w:p w:rsidR="00921F24" w:rsidRPr="00921F24" w:rsidRDefault="00921F24" w:rsidP="00921F24">
            <w:pPr>
              <w:rPr>
                <w:rFonts w:ascii="Arial" w:hAnsi="Arial" w:cs="Arial"/>
                <w:color w:val="000000" w:themeColor="text1"/>
                <w:sz w:val="20"/>
                <w:szCs w:val="20"/>
              </w:rPr>
            </w:pPr>
            <w:bookmarkStart w:id="18" w:name="bookmark17"/>
            <w:bookmarkEnd w:id="18"/>
            <w:r w:rsidRPr="00921F24">
              <w:rPr>
                <w:rFonts w:ascii="Arial" w:hAnsi="Arial" w:cs="Arial"/>
                <w:color w:val="000000" w:themeColor="text1"/>
                <w:sz w:val="20"/>
                <w:szCs w:val="20"/>
              </w:rPr>
              <w:t xml:space="preserve"> Hội đồng Dân tộc;</w:t>
            </w:r>
          </w:p>
          <w:p w:rsidR="00921F24" w:rsidRPr="00921F24" w:rsidRDefault="00921F24" w:rsidP="00921F24">
            <w:pPr>
              <w:rPr>
                <w:rFonts w:ascii="Arial" w:hAnsi="Arial" w:cs="Arial"/>
                <w:color w:val="000000" w:themeColor="text1"/>
                <w:sz w:val="20"/>
                <w:szCs w:val="20"/>
              </w:rPr>
            </w:pPr>
            <w:bookmarkStart w:id="19" w:name="bookmark18"/>
            <w:bookmarkEnd w:id="19"/>
            <w:r w:rsidRPr="00921F24">
              <w:rPr>
                <w:rFonts w:ascii="Arial" w:hAnsi="Arial" w:cs="Arial"/>
                <w:color w:val="000000" w:themeColor="text1"/>
                <w:sz w:val="20"/>
                <w:szCs w:val="20"/>
              </w:rPr>
              <w:t>- Ủy ban Tài chính, Ngân sách;</w:t>
            </w:r>
          </w:p>
          <w:p w:rsidR="00921F24" w:rsidRPr="00921F24" w:rsidRDefault="00921F24" w:rsidP="00921F24">
            <w:pPr>
              <w:rPr>
                <w:rFonts w:ascii="Arial" w:hAnsi="Arial" w:cs="Arial"/>
                <w:color w:val="000000" w:themeColor="text1"/>
                <w:sz w:val="20"/>
                <w:szCs w:val="20"/>
              </w:rPr>
            </w:pPr>
            <w:bookmarkStart w:id="20" w:name="bookmark19"/>
            <w:bookmarkEnd w:id="20"/>
            <w:r w:rsidRPr="00921F24">
              <w:rPr>
                <w:rFonts w:ascii="Arial" w:hAnsi="Arial" w:cs="Arial"/>
                <w:color w:val="000000" w:themeColor="text1"/>
                <w:sz w:val="20"/>
                <w:szCs w:val="20"/>
              </w:rPr>
              <w:t>- Văn phòng Chủ tịch nước;</w:t>
            </w:r>
          </w:p>
          <w:p w:rsidR="00921F24" w:rsidRPr="00921F24" w:rsidRDefault="00921F24" w:rsidP="00921F24">
            <w:pPr>
              <w:rPr>
                <w:rFonts w:ascii="Arial" w:hAnsi="Arial" w:cs="Arial"/>
                <w:color w:val="000000" w:themeColor="text1"/>
                <w:sz w:val="20"/>
                <w:szCs w:val="20"/>
              </w:rPr>
            </w:pPr>
            <w:bookmarkStart w:id="21" w:name="bookmark20"/>
            <w:bookmarkEnd w:id="21"/>
            <w:r w:rsidRPr="00921F24">
              <w:rPr>
                <w:rFonts w:ascii="Arial" w:hAnsi="Arial" w:cs="Arial"/>
                <w:color w:val="000000" w:themeColor="text1"/>
                <w:sz w:val="20"/>
                <w:szCs w:val="20"/>
              </w:rPr>
              <w:t>- Viện kiểm sát nhân dân tối cao;</w:t>
            </w:r>
          </w:p>
          <w:p w:rsidR="00921F24" w:rsidRPr="00921F24" w:rsidRDefault="00921F24" w:rsidP="00921F24">
            <w:pPr>
              <w:rPr>
                <w:rFonts w:ascii="Arial" w:hAnsi="Arial" w:cs="Arial"/>
                <w:color w:val="000000" w:themeColor="text1"/>
                <w:sz w:val="20"/>
                <w:szCs w:val="20"/>
              </w:rPr>
            </w:pPr>
            <w:bookmarkStart w:id="22" w:name="bookmark21"/>
            <w:bookmarkEnd w:id="22"/>
            <w:r w:rsidRPr="00921F24">
              <w:rPr>
                <w:rFonts w:ascii="Arial" w:hAnsi="Arial" w:cs="Arial"/>
                <w:color w:val="000000" w:themeColor="text1"/>
                <w:sz w:val="20"/>
                <w:szCs w:val="20"/>
              </w:rPr>
              <w:t>- Tòa án nhân dân tối cao;</w:t>
            </w:r>
          </w:p>
          <w:p w:rsidR="00921F24" w:rsidRPr="00921F24" w:rsidRDefault="00921F24" w:rsidP="00921F24">
            <w:pPr>
              <w:rPr>
                <w:rFonts w:ascii="Arial" w:hAnsi="Arial" w:cs="Arial"/>
                <w:color w:val="000000" w:themeColor="text1"/>
                <w:sz w:val="20"/>
                <w:szCs w:val="20"/>
              </w:rPr>
            </w:pPr>
            <w:bookmarkStart w:id="23" w:name="bookmark22"/>
            <w:bookmarkEnd w:id="23"/>
            <w:r w:rsidRPr="00921F24">
              <w:rPr>
                <w:rFonts w:ascii="Arial" w:hAnsi="Arial" w:cs="Arial"/>
                <w:color w:val="000000" w:themeColor="text1"/>
                <w:sz w:val="20"/>
                <w:szCs w:val="20"/>
              </w:rPr>
              <w:t>- Kiểm toán Nhà nước;</w:t>
            </w:r>
          </w:p>
          <w:p w:rsidR="00921F24" w:rsidRPr="00921F24" w:rsidRDefault="00921F24" w:rsidP="00921F24">
            <w:pPr>
              <w:rPr>
                <w:rFonts w:ascii="Arial" w:hAnsi="Arial" w:cs="Arial"/>
                <w:color w:val="000000" w:themeColor="text1"/>
                <w:sz w:val="20"/>
                <w:szCs w:val="20"/>
              </w:rPr>
            </w:pPr>
            <w:bookmarkStart w:id="24" w:name="bookmark23"/>
            <w:bookmarkEnd w:id="24"/>
            <w:r w:rsidRPr="00921F24">
              <w:rPr>
                <w:rFonts w:ascii="Arial" w:hAnsi="Arial" w:cs="Arial"/>
                <w:color w:val="000000" w:themeColor="text1"/>
                <w:sz w:val="20"/>
                <w:szCs w:val="20"/>
              </w:rPr>
              <w:t>- Cơ quan trung ương của các đoàn thể;</w:t>
            </w:r>
          </w:p>
          <w:p w:rsidR="00921F24" w:rsidRPr="00921F24" w:rsidRDefault="00921F24" w:rsidP="00921F24">
            <w:pPr>
              <w:rPr>
                <w:rFonts w:ascii="Arial" w:hAnsi="Arial" w:cs="Arial"/>
                <w:color w:val="000000" w:themeColor="text1"/>
                <w:sz w:val="20"/>
                <w:szCs w:val="20"/>
              </w:rPr>
            </w:pPr>
            <w:bookmarkStart w:id="25" w:name="bookmark24"/>
            <w:bookmarkEnd w:id="25"/>
            <w:r w:rsidRPr="00921F24">
              <w:rPr>
                <w:rFonts w:ascii="Arial" w:hAnsi="Arial" w:cs="Arial"/>
                <w:color w:val="000000" w:themeColor="text1"/>
                <w:sz w:val="20"/>
                <w:szCs w:val="20"/>
              </w:rPr>
              <w:t>- Các bộ, cơ quan ngang bộ, cơ quan thuộc Chính phủ;</w:t>
            </w:r>
          </w:p>
          <w:p w:rsidR="00921F24" w:rsidRPr="00921F24" w:rsidRDefault="00921F24" w:rsidP="00921F24">
            <w:pPr>
              <w:rPr>
                <w:rFonts w:ascii="Arial" w:hAnsi="Arial" w:cs="Arial"/>
                <w:color w:val="000000" w:themeColor="text1"/>
                <w:sz w:val="20"/>
                <w:szCs w:val="20"/>
              </w:rPr>
            </w:pPr>
            <w:bookmarkStart w:id="26" w:name="bookmark25"/>
            <w:bookmarkEnd w:id="26"/>
            <w:r w:rsidRPr="00921F24">
              <w:rPr>
                <w:rFonts w:ascii="Arial" w:hAnsi="Arial" w:cs="Arial"/>
                <w:color w:val="000000" w:themeColor="text1"/>
                <w:sz w:val="20"/>
                <w:szCs w:val="20"/>
              </w:rPr>
              <w:t>- HĐND, UBND các tỉnh, thành phố trực thuộc trung ương;</w:t>
            </w:r>
          </w:p>
          <w:p w:rsidR="00921F24" w:rsidRPr="00921F24" w:rsidRDefault="00921F24" w:rsidP="00921F24">
            <w:pPr>
              <w:rPr>
                <w:rFonts w:ascii="Arial" w:hAnsi="Arial" w:cs="Arial"/>
                <w:color w:val="000000" w:themeColor="text1"/>
                <w:sz w:val="20"/>
                <w:szCs w:val="20"/>
              </w:rPr>
            </w:pPr>
            <w:bookmarkStart w:id="27" w:name="bookmark26"/>
            <w:bookmarkEnd w:id="27"/>
            <w:r w:rsidRPr="00921F24">
              <w:rPr>
                <w:rFonts w:ascii="Arial" w:hAnsi="Arial" w:cs="Arial"/>
                <w:color w:val="000000" w:themeColor="text1"/>
                <w:sz w:val="20"/>
                <w:szCs w:val="20"/>
              </w:rPr>
              <w:t>- Sở Tài chính, Cục Thuế, KBNN các tỉnh, thành phố trực thuộc Trung ương;</w:t>
            </w:r>
          </w:p>
          <w:p w:rsidR="00921F24" w:rsidRPr="00921F24" w:rsidRDefault="00921F24" w:rsidP="00921F24">
            <w:pPr>
              <w:rPr>
                <w:rFonts w:ascii="Arial" w:hAnsi="Arial" w:cs="Arial"/>
                <w:color w:val="000000" w:themeColor="text1"/>
                <w:sz w:val="20"/>
                <w:szCs w:val="20"/>
              </w:rPr>
            </w:pPr>
            <w:bookmarkStart w:id="28" w:name="bookmark27"/>
            <w:bookmarkEnd w:id="28"/>
            <w:r w:rsidRPr="00921F24">
              <w:rPr>
                <w:rFonts w:ascii="Arial" w:hAnsi="Arial" w:cs="Arial"/>
                <w:color w:val="000000" w:themeColor="text1"/>
                <w:sz w:val="20"/>
                <w:szCs w:val="20"/>
              </w:rPr>
              <w:t>- Cục Kiểm tra văn bản quy phạm pháp luật, Bộ Tư pháp;</w:t>
            </w:r>
          </w:p>
          <w:p w:rsidR="00921F24" w:rsidRPr="00921F24" w:rsidRDefault="00921F24" w:rsidP="00921F24">
            <w:pPr>
              <w:rPr>
                <w:rFonts w:ascii="Arial" w:hAnsi="Arial" w:cs="Arial"/>
                <w:color w:val="000000" w:themeColor="text1"/>
                <w:sz w:val="20"/>
                <w:szCs w:val="20"/>
              </w:rPr>
            </w:pPr>
            <w:bookmarkStart w:id="29" w:name="bookmark28"/>
            <w:bookmarkEnd w:id="29"/>
            <w:r w:rsidRPr="00921F24">
              <w:rPr>
                <w:rFonts w:ascii="Arial" w:hAnsi="Arial" w:cs="Arial"/>
                <w:color w:val="000000" w:themeColor="text1"/>
                <w:sz w:val="20"/>
                <w:szCs w:val="20"/>
              </w:rPr>
              <w:t>- Công báo;</w:t>
            </w:r>
          </w:p>
          <w:p w:rsidR="00921F24" w:rsidRPr="00921F24" w:rsidRDefault="00921F24" w:rsidP="00921F24">
            <w:pPr>
              <w:rPr>
                <w:rFonts w:ascii="Arial" w:hAnsi="Arial" w:cs="Arial"/>
                <w:color w:val="000000" w:themeColor="text1"/>
                <w:sz w:val="20"/>
                <w:szCs w:val="20"/>
              </w:rPr>
            </w:pPr>
            <w:bookmarkStart w:id="30" w:name="bookmark29"/>
            <w:bookmarkEnd w:id="30"/>
            <w:r w:rsidRPr="00921F24">
              <w:rPr>
                <w:rFonts w:ascii="Arial" w:hAnsi="Arial" w:cs="Arial"/>
                <w:color w:val="000000" w:themeColor="text1"/>
                <w:sz w:val="20"/>
                <w:szCs w:val="20"/>
              </w:rPr>
              <w:t>- Cổng Thông tin điện tử Chính phủ;</w:t>
            </w:r>
          </w:p>
          <w:p w:rsidR="00921F24" w:rsidRPr="00921F24" w:rsidRDefault="00921F24" w:rsidP="00921F24">
            <w:pPr>
              <w:rPr>
                <w:rFonts w:ascii="Arial" w:hAnsi="Arial" w:cs="Arial"/>
                <w:color w:val="000000" w:themeColor="text1"/>
                <w:sz w:val="20"/>
                <w:szCs w:val="20"/>
              </w:rPr>
            </w:pPr>
            <w:bookmarkStart w:id="31" w:name="bookmark30"/>
            <w:bookmarkEnd w:id="31"/>
            <w:r w:rsidRPr="00921F24">
              <w:rPr>
                <w:rFonts w:ascii="Arial" w:hAnsi="Arial" w:cs="Arial"/>
                <w:color w:val="000000" w:themeColor="text1"/>
                <w:sz w:val="20"/>
                <w:szCs w:val="20"/>
              </w:rPr>
              <w:t>- Cổng Thông tin điện tử Bộ Tài chính;</w:t>
            </w:r>
          </w:p>
          <w:p w:rsidR="00921F24" w:rsidRPr="00921F24" w:rsidRDefault="00921F24" w:rsidP="00921F24">
            <w:pPr>
              <w:rPr>
                <w:rFonts w:ascii="Arial" w:hAnsi="Arial" w:cs="Arial"/>
                <w:color w:val="000000" w:themeColor="text1"/>
                <w:sz w:val="20"/>
                <w:szCs w:val="20"/>
              </w:rPr>
            </w:pPr>
            <w:bookmarkStart w:id="32" w:name="bookmark31"/>
            <w:bookmarkEnd w:id="32"/>
            <w:r w:rsidRPr="00921F24">
              <w:rPr>
                <w:rFonts w:ascii="Arial" w:hAnsi="Arial" w:cs="Arial"/>
                <w:color w:val="000000" w:themeColor="text1"/>
                <w:sz w:val="20"/>
                <w:szCs w:val="20"/>
              </w:rPr>
              <w:t>- Các đơn vị thuộc Bộ Tài chính;</w:t>
            </w:r>
          </w:p>
          <w:p w:rsidR="00921F24" w:rsidRPr="00921F24" w:rsidRDefault="00921F24" w:rsidP="00921F24">
            <w:pPr>
              <w:rPr>
                <w:rFonts w:ascii="Arial" w:hAnsi="Arial" w:cs="Arial"/>
                <w:color w:val="000000" w:themeColor="text1"/>
                <w:sz w:val="20"/>
                <w:szCs w:val="20"/>
              </w:rPr>
            </w:pPr>
            <w:bookmarkStart w:id="33" w:name="bookmark32"/>
            <w:bookmarkEnd w:id="33"/>
            <w:r w:rsidRPr="00921F24">
              <w:rPr>
                <w:rFonts w:ascii="Arial" w:hAnsi="Arial" w:cs="Arial"/>
                <w:color w:val="000000" w:themeColor="text1"/>
                <w:sz w:val="20"/>
                <w:szCs w:val="20"/>
              </w:rPr>
              <w:t>- Lưu: VT, Cục CST (300b).</w:t>
            </w:r>
          </w:p>
        </w:tc>
        <w:tc>
          <w:tcPr>
            <w:tcW w:w="2500" w:type="pct"/>
          </w:tcPr>
          <w:p w:rsidR="00921F24" w:rsidRPr="00921F24" w:rsidRDefault="00921F24" w:rsidP="00921F24">
            <w:pPr>
              <w:jc w:val="center"/>
              <w:rPr>
                <w:rFonts w:ascii="Arial" w:hAnsi="Arial" w:cs="Arial"/>
                <w:b/>
                <w:color w:val="000000" w:themeColor="text1"/>
                <w:sz w:val="20"/>
                <w:szCs w:val="20"/>
              </w:rPr>
            </w:pPr>
            <w:r w:rsidRPr="00921F24">
              <w:rPr>
                <w:rFonts w:ascii="Arial" w:hAnsi="Arial" w:cs="Arial"/>
                <w:b/>
                <w:color w:val="000000" w:themeColor="text1"/>
                <w:sz w:val="20"/>
                <w:szCs w:val="20"/>
              </w:rPr>
              <w:t>KT. BỘ TRƯỞNG</w:t>
            </w:r>
          </w:p>
          <w:p w:rsidR="00921F24" w:rsidRPr="00921F24" w:rsidRDefault="00921F24" w:rsidP="00921F24">
            <w:pPr>
              <w:jc w:val="center"/>
              <w:rPr>
                <w:rFonts w:ascii="Arial" w:hAnsi="Arial" w:cs="Arial"/>
                <w:b/>
                <w:color w:val="000000" w:themeColor="text1"/>
                <w:sz w:val="20"/>
                <w:szCs w:val="20"/>
              </w:rPr>
            </w:pPr>
            <w:r w:rsidRPr="00921F24">
              <w:rPr>
                <w:rFonts w:ascii="Arial" w:hAnsi="Arial" w:cs="Arial"/>
                <w:b/>
                <w:color w:val="000000" w:themeColor="text1"/>
                <w:sz w:val="20"/>
                <w:szCs w:val="20"/>
              </w:rPr>
              <w:t>THỨ TRƯỞNG</w:t>
            </w:r>
          </w:p>
          <w:p w:rsidR="00921F24" w:rsidRPr="00921F24" w:rsidRDefault="00921F24" w:rsidP="00921F24">
            <w:pPr>
              <w:jc w:val="center"/>
              <w:rPr>
                <w:rFonts w:ascii="Arial" w:hAnsi="Arial" w:cs="Arial"/>
                <w:b/>
                <w:color w:val="000000" w:themeColor="text1"/>
                <w:sz w:val="20"/>
                <w:szCs w:val="20"/>
              </w:rPr>
            </w:pPr>
          </w:p>
          <w:p w:rsidR="00921F24" w:rsidRPr="00921F24" w:rsidRDefault="00921F24" w:rsidP="00921F24">
            <w:pPr>
              <w:jc w:val="center"/>
              <w:rPr>
                <w:rFonts w:ascii="Arial" w:hAnsi="Arial" w:cs="Arial"/>
                <w:b/>
                <w:color w:val="000000" w:themeColor="text1"/>
                <w:sz w:val="20"/>
                <w:szCs w:val="20"/>
              </w:rPr>
            </w:pPr>
          </w:p>
          <w:p w:rsidR="00921F24" w:rsidRPr="00921F24" w:rsidRDefault="00921F24" w:rsidP="00921F24">
            <w:pPr>
              <w:jc w:val="center"/>
              <w:rPr>
                <w:rFonts w:ascii="Arial" w:hAnsi="Arial" w:cs="Arial"/>
                <w:b/>
                <w:color w:val="000000" w:themeColor="text1"/>
                <w:sz w:val="20"/>
                <w:szCs w:val="20"/>
              </w:rPr>
            </w:pPr>
          </w:p>
          <w:p w:rsidR="00921F24" w:rsidRPr="00921F24" w:rsidRDefault="00921F24" w:rsidP="00921F24">
            <w:pPr>
              <w:jc w:val="center"/>
              <w:rPr>
                <w:rFonts w:ascii="Arial" w:hAnsi="Arial" w:cs="Arial"/>
                <w:b/>
                <w:color w:val="000000" w:themeColor="text1"/>
                <w:sz w:val="20"/>
                <w:szCs w:val="20"/>
              </w:rPr>
            </w:pPr>
          </w:p>
          <w:p w:rsidR="00921F24" w:rsidRPr="00921F24" w:rsidRDefault="00921F24" w:rsidP="00921F24">
            <w:pPr>
              <w:jc w:val="center"/>
              <w:rPr>
                <w:rFonts w:ascii="Arial" w:hAnsi="Arial" w:cs="Arial"/>
                <w:b/>
                <w:color w:val="000000" w:themeColor="text1"/>
                <w:sz w:val="20"/>
                <w:szCs w:val="20"/>
              </w:rPr>
            </w:pPr>
            <w:r w:rsidRPr="00921F24">
              <w:rPr>
                <w:rFonts w:ascii="Arial" w:hAnsi="Arial" w:cs="Arial"/>
                <w:b/>
                <w:color w:val="000000" w:themeColor="text1"/>
                <w:sz w:val="20"/>
                <w:szCs w:val="20"/>
              </w:rPr>
              <w:t>Cao Anh Tuấn</w:t>
            </w:r>
          </w:p>
        </w:tc>
      </w:tr>
    </w:tbl>
    <w:p w:rsidR="00A73E0F" w:rsidRPr="00921F24" w:rsidRDefault="00A73E0F" w:rsidP="00921F24">
      <w:pPr>
        <w:rPr>
          <w:rFonts w:ascii="Arial" w:hAnsi="Arial" w:cs="Arial"/>
          <w:color w:val="000000" w:themeColor="text1"/>
          <w:sz w:val="20"/>
          <w:szCs w:val="20"/>
        </w:rPr>
      </w:pPr>
    </w:p>
    <w:sectPr w:rsidR="00A73E0F" w:rsidRPr="00921F24" w:rsidSect="005C17E5">
      <w:headerReference w:type="default" r:id="rId7"/>
      <w:headerReference w:type="first" r:id="rId8"/>
      <w:pgSz w:w="11900" w:h="16840"/>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F1E" w:rsidRDefault="00F25F1E">
      <w:r>
        <w:separator/>
      </w:r>
    </w:p>
  </w:endnote>
  <w:endnote w:type="continuationSeparator" w:id="0">
    <w:p w:rsidR="00F25F1E" w:rsidRDefault="00F2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F1E" w:rsidRDefault="00F25F1E"/>
  </w:footnote>
  <w:footnote w:type="continuationSeparator" w:id="0">
    <w:p w:rsidR="00F25F1E" w:rsidRDefault="00F25F1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1D" w:rsidRDefault="001E181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1D" w:rsidRDefault="001E181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E45C8"/>
    <w:multiLevelType w:val="multilevel"/>
    <w:tmpl w:val="B392852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3A3353"/>
    <w:multiLevelType w:val="multilevel"/>
    <w:tmpl w:val="651C6B3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066AA4"/>
    <w:multiLevelType w:val="multilevel"/>
    <w:tmpl w:val="A3EAEFD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F90C99"/>
    <w:multiLevelType w:val="multilevel"/>
    <w:tmpl w:val="EAE63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1D"/>
    <w:rsid w:val="001E181D"/>
    <w:rsid w:val="001F5273"/>
    <w:rsid w:val="002C417D"/>
    <w:rsid w:val="002D5303"/>
    <w:rsid w:val="003604CC"/>
    <w:rsid w:val="005C17E5"/>
    <w:rsid w:val="006B0A52"/>
    <w:rsid w:val="007B2692"/>
    <w:rsid w:val="008D0612"/>
    <w:rsid w:val="00921F24"/>
    <w:rsid w:val="009238BE"/>
    <w:rsid w:val="009D3D3C"/>
    <w:rsid w:val="00A73E0F"/>
    <w:rsid w:val="00A8203D"/>
    <w:rsid w:val="00DF190A"/>
    <w:rsid w:val="00E133A9"/>
    <w:rsid w:val="00F2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3819B-9916-45AE-8CB4-C1589461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val="0"/>
      <w:bCs w:val="0"/>
      <w:i w:val="0"/>
      <w:iCs w:val="0"/>
      <w:smallCaps/>
      <w:strike w:val="0"/>
      <w:sz w:val="30"/>
      <w:szCs w:val="3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9"/>
      <w:szCs w:val="19"/>
      <w:u w:val="none"/>
      <w:shd w:val="clear" w:color="auto" w:fill="auto"/>
    </w:rPr>
  </w:style>
  <w:style w:type="paragraph" w:customStyle="1" w:styleId="Heading10">
    <w:name w:val="Heading #1"/>
    <w:basedOn w:val="Normal"/>
    <w:link w:val="Heading1"/>
    <w:pPr>
      <w:ind w:firstLine="680"/>
      <w:outlineLvl w:val="0"/>
    </w:pPr>
    <w:rPr>
      <w:rFonts w:ascii="Arial" w:eastAsia="Arial" w:hAnsi="Arial" w:cs="Arial"/>
      <w:smallCaps/>
      <w:sz w:val="30"/>
      <w:szCs w:val="30"/>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i/>
      <w:i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Arial" w:eastAsia="Arial" w:hAnsi="Arial" w:cs="Arial"/>
      <w:sz w:val="19"/>
      <w:szCs w:val="19"/>
    </w:rPr>
  </w:style>
  <w:style w:type="table" w:styleId="TableGrid">
    <w:name w:val="Table Grid"/>
    <w:basedOn w:val="TableNormal"/>
    <w:uiPriority w:val="39"/>
    <w:rsid w:val="00A7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5273"/>
    <w:pPr>
      <w:tabs>
        <w:tab w:val="center" w:pos="4513"/>
        <w:tab w:val="right" w:pos="9026"/>
      </w:tabs>
    </w:pPr>
  </w:style>
  <w:style w:type="character" w:customStyle="1" w:styleId="HeaderChar">
    <w:name w:val="Header Char"/>
    <w:basedOn w:val="DefaultParagraphFont"/>
    <w:link w:val="Header"/>
    <w:uiPriority w:val="99"/>
    <w:rsid w:val="001F5273"/>
    <w:rPr>
      <w:color w:val="000000"/>
    </w:rPr>
  </w:style>
  <w:style w:type="paragraph" w:styleId="Footer">
    <w:name w:val="footer"/>
    <w:basedOn w:val="Normal"/>
    <w:link w:val="FooterChar"/>
    <w:uiPriority w:val="99"/>
    <w:unhideWhenUsed/>
    <w:rsid w:val="001F5273"/>
    <w:pPr>
      <w:tabs>
        <w:tab w:val="center" w:pos="4513"/>
        <w:tab w:val="right" w:pos="9026"/>
      </w:tabs>
    </w:pPr>
  </w:style>
  <w:style w:type="character" w:customStyle="1" w:styleId="FooterChar">
    <w:name w:val="Footer Char"/>
    <w:basedOn w:val="DefaultParagraphFont"/>
    <w:link w:val="Footer"/>
    <w:uiPriority w:val="99"/>
    <w:rsid w:val="001F52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qdtw225</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qdtw225</dc:title>
  <dc:subject/>
  <dc:creator>Phạm Thị Hòa</dc:creator>
  <cp:keywords/>
  <cp:lastModifiedBy>NGUYỄN XUÂN HUY</cp:lastModifiedBy>
  <cp:revision>4</cp:revision>
  <dcterms:created xsi:type="dcterms:W3CDTF">2025-02-05T06:44:00Z</dcterms:created>
  <dcterms:modified xsi:type="dcterms:W3CDTF">2025-02-06T01:25:00Z</dcterms:modified>
</cp:coreProperties>
</file>